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after="200"/>
        <w:jc w:val="center"/>
      </w:pPr>
      <w:r>
        <w:rPr>
          <w:rFonts w:ascii="Arial" w:cs="Arial" w:eastAsia="Arial" w:hAnsi="Arial"/>
          <w:b/>
          <w:bCs/>
          <w:color w:val="1B3A5C"/>
          <w:sz w:val="52"/>
          <w:szCs w:val="52"/>
        </w:rPr>
        <w:t xml:space="preserve">The Nuclear Construction Finance Corporation</w:t>
      </w:r>
    </w:p>
    <w:p>
      <w:pPr>
        <w:spacing w:after="600"/>
        <w:jc w:val="center"/>
      </w:pPr>
      <w:r>
        <w:rPr>
          <w:rFonts w:ascii="Arial" w:cs="Arial" w:eastAsia="Arial" w:hAnsi="Arial"/>
          <w:color w:val="3A6B96"/>
          <w:sz w:val="36"/>
          <w:szCs w:val="36"/>
        </w:rPr>
        <w:t xml:space="preserve">Canonical Architecture — v3</w:t>
      </w:r>
    </w:p>
    <w:p>
      <w:pPr>
        <w:spacing w:after="200"/>
        <w:jc w:val="center"/>
      </w:pPr>
      <w:r>
        <w:rPr>
          <w:rFonts w:ascii="Georgia" w:cs="Georgia" w:eastAsia="Georgia" w:hAnsi="Georgia"/>
          <w:i/>
          <w:iCs/>
          <w:color w:val="555555"/>
          <w:sz w:val="26"/>
          <w:szCs w:val="26"/>
        </w:rPr>
        <w:t xml:space="preserve">A Sovereign Financing Platform for Fleet-Scale Nuclear Deployment</w:t>
      </w:r>
    </w:p>
    <w:p>
      <w:pPr>
        <w:spacing w:before="1200"/>
      </w:pPr>
    </w:p>
    <w:p>
      <w:pPr>
        <w:jc w:val="center"/>
      </w:pPr>
      <w:r>
        <w:rPr>
          <w:rFonts w:ascii="Arial" w:cs="Arial" w:eastAsia="Arial" w:hAnsi="Arial"/>
          <w:sz w:val="24"/>
          <w:szCs w:val="24"/>
        </w:rPr>
        <w:t xml:space="preserve">Arthur Spoerl</w:t>
      </w:r>
    </w:p>
    <w:p>
      <w:pPr>
        <w:spacing w:after="100"/>
        <w:jc w:val="center"/>
      </w:pPr>
      <w:r>
        <w:rPr>
          <w:rFonts w:ascii="Arial" w:cs="Arial" w:eastAsia="Arial" w:hAnsi="Arial"/>
          <w:color w:val="777777"/>
          <w:sz w:val="22"/>
          <w:szCs w:val="22"/>
        </w:rPr>
        <w:t xml:space="preserve">March 2026</w:t>
      </w:r>
    </w:p>
    <w:p>
      <w:pPr>
        <w:spacing w:before="600"/>
        <w:jc w:val="center"/>
      </w:pPr>
      <w:r>
        <w:rPr>
          <w:rFonts w:ascii="Arial" w:cs="Arial" w:eastAsia="Arial" w:hAnsi="Arial"/>
          <w:b/>
          <w:bCs/>
          <w:color w:val="CC4444"/>
          <w:sz w:val="20"/>
          <w:szCs w:val="20"/>
        </w:rPr>
        <w:t xml:space="preserve">WORKING DRAFT — POST-AUDIT REVISION</w:t>
      </w:r>
    </w:p>
    <w:p>
      <w:r>
        <w:br w:type="page"/>
      </w:r>
    </w:p>
    <w:p>
      <w:pPr>
        <w:pStyle w:val="Heading1"/>
      </w:pPr>
      <w:r>
        <w:t xml:space="preserve">Abstract</w:t>
      </w:r>
    </w:p>
    <w:p>
      <w:pPr>
        <w:spacing w:after="200" w:line="276"/>
      </w:pPr>
      <w:r>
        <w:t xml:space="preserve">This document sets out the primary architecture of the Nuclear Construction Finance Corporation (NCFC): what it is, why it exists, how it is positioned relative to the Nuclear Deployment Council (NDC) and the DOE Loan Programs Office (LPO), and how its core facilities—Construction Notes and milestone take-outs, the Completion Reserve Facility (CRF), the Long-Term Refinancing Facility (LTRF), the Nuclear Construction Bond (NCB) master trust, and the Revenue Security Framework (RSF)—fit together as a single coherent system.</w:t>
      </w:r>
    </w:p>
    <w:p>
      <w:pPr>
        <w:spacing w:after="200" w:line="276"/>
      </w:pPr>
      <w:r>
        <w:t xml:space="preserve">The focus is architectural rather than granular. Rate formulas, tranche sizing, and detailed mechanics are handled in dedicated deep-dive supplements on CRF/CLT/CTT, NCBs and the Master Trust, LTRF, RSF, and the NDC–NCFC interface. This document is the spine they all hang from.</w:t>
      </w:r>
    </w:p>
    <w:p>
      <w:pPr>
        <w:pBdr>
          <w:left w:val="single" w:color="2E5984" w:sz="12" w:space="8"/>
        </w:pBdr>
        <w:spacing w:after="200" w:line="276"/>
        <w:ind w:left="720" w:right="720"/>
      </w:pPr>
      <w:r>
        <w:rPr>
          <w:i/>
          <w:iCs/>
          <w:color w:val="2E5984"/>
        </w:rPr>
        <w:t xml:space="preserve">Design resolution note: Where earlier working documents contained internal tensions—particularly regarding the scope of the Revenue Security Score (RSS)—this canonical version resolves them. The authoritative design intent, confirmed through external validation and iterative refinement, is documented here. Superseded formulations in earlier drafts should be read in light of this document.</w:t>
      </w:r>
    </w:p>
    <w:p>
      <w:pPr>
        <w:spacing w:after="200" w:line="276"/>
      </w:pPr>
      <w:r>
        <w:t xml:space="preserve"/>
      </w:r>
    </w:p>
    <w:p>
      <w:pPr>
        <w:pBdr>
          <w:left w:val="single" w:color="2E5984" w:sz="12" w:space="8"/>
        </w:pBdr>
        <w:spacing w:after="200" w:line="276"/>
        <w:ind w:left="720" w:right="720"/>
      </w:pPr>
      <w:r>
        <w:rPr>
          <w:i/>
          <w:iCs/>
          <w:color w:val="2E5984"/>
        </w:rPr>
        <w:t xml:space="preserve">v3 changes (March 2026): This revision incorporates findings from a systematic adversarial audit of the NCFC architecture. Key additions include: (1) the Sovereign Bargain framework—establishing that CRF is alignment capital, not insurance, and that the sovereign deep-tail commitment is permanent by design; (2) empirical anchoring of CRF attach thresholds to INL/Flyvbjerg data; (3) NDC contingency provisions for standalone NCFC operation; (4) baseline B₀ bootstrap acknowledgment for the first project cohort; (5) a post-CCC asset disposition framework; and (6) a comparative fiscal case for appropriators. v3 corrects the v2 error of treating early-years CRF underfunding as a problem to be patched with higher premiums and wider bands, instead recognizing it as a permanent structural reality the sovereign must accept. The companion document ‘NCFC — Adversarial Audit’ contains the full attack/response analysis underlying these changes.</w:t>
      </w:r>
    </w:p>
    <w:p>
      <w:r>
        <w:br w:type="page"/>
      </w:r>
    </w:p>
    <w:p>
      <w:pPr>
        <w:pStyle w:val="Heading1"/>
      </w:pPr>
      <w:r>
        <w:t xml:space="preserve">I. Context and Problem Statement: The Meta Failure</w:t>
      </w:r>
    </w:p>
    <w:p>
      <w:pPr>
        <w:spacing w:after="200" w:line="276"/>
      </w:pPr>
      <w:r>
        <w:t xml:space="preserve">Modern nuclear construction in the United States does not just suffer from “a few bad projects.” It suffers from a system failure that reliably produces fat-tailed, right-skewed cost and schedule outcomes. Each new plant is treated as a bespoke, quasi-FOAK undertaking, even when the technology is nominally proven.</w:t>
      </w:r>
    </w:p>
    <w:p>
      <w:pPr>
        <w:spacing w:after="200" w:line="276"/>
      </w:pPr>
      <w:r>
        <w:t xml:space="preserve">Empirically, the distribution of nuclear cost overruns looks nothing like a tight Gaussian around budget. The tail is thick: projects that run to 150–200% of initial cost estimates are not statistical freaks—they are a recurring pattern in the absence of institutional discipline, standardization, and shared learning. Vogtle is not an outlier; it is an expression of the underlying architecture.</w:t>
      </w:r>
    </w:p>
    <w:p>
      <w:pPr>
        <w:spacing w:after="200" w:line="276"/>
      </w:pPr>
      <w:r>
        <w:t xml:space="preserve">The dominant blocker, as validated by infrastructure financing professionals at major investment banks, is not moderate cost overruns per se. Banks and sophisticated investors can price mid-band cost growth in conventional project finance structures. What they fear is the “10 → ∞” scenario: a project launched at $10 billion with no credible upper bound on total cost, no clear endpoint, and no structural mechanism to prevent costs from running indefinitely. That unbounded right-tail risk is what makes nuclear construction unpriceable and unfinanceable at scale.</w:t>
      </w:r>
    </w:p>
    <w:p>
      <w:pPr>
        <w:spacing w:after="200" w:line="276"/>
      </w:pPr>
      <w:r>
        <w:t xml:space="preserve">Capital providers need a credible statement equivalent to: </w:t>
      </w:r>
      <w:r>
        <w:rPr>
          <w:b/>
          <w:bCs/>
        </w:rPr>
        <w:t xml:space="preserve">“Whatever happens, this project will never cost more than X% over budget.”</w:t>
      </w:r>
      <w:r>
        <w:t xml:space="preserve"> The exact multiple is negotiable. The logic is not.</w:t>
      </w:r>
    </w:p>
    <w:p>
      <w:pPr>
        <w:spacing w:after="200" w:line="276"/>
      </w:pPr>
      <w:r>
        <w:t xml:space="preserve">Simultaneously, the lack of an institutional learning spine means each project reinvents the wheel: different cost codes, different baselines, different milestone definitions, different reporting. Without standardization, there is no learning curve—there is only a series of expensive one-offs that compound institutional amnesia rather than institutional knowledge.</w:t>
      </w:r>
    </w:p>
    <w:p>
      <w:pPr>
        <w:spacing w:after="200" w:line="276"/>
      </w:pPr>
      <w:r>
        <w:t xml:space="preserve">This is the meta failure that NCFC is designed to solve. Not a bad project. Not a single regulatory failure. A system-wide absence of the institutional architecture necessary to make nuclear construction financeable, repeatable, and progressively cheaper.</w:t>
      </w:r>
    </w:p>
    <w:p>
      <w:r>
        <w:br w:type="page"/>
      </w:r>
    </w:p>
    <w:p>
      <w:pPr>
        <w:pStyle w:val="Heading1"/>
      </w:pPr>
      <w:r>
        <w:t xml:space="preserve">II. Design Principles</w:t>
      </w:r>
    </w:p>
    <w:p>
      <w:pPr>
        <w:spacing w:after="200" w:line="276"/>
      </w:pPr>
      <w:r>
        <w:t xml:space="preserve">NCFC’s architecture rests on four interlocking principles. Every mechanism in the system—from milestone take-outs to CRF attach points to LTRF step-ups—traces back to one or more of these.</w:t>
      </w:r>
    </w:p>
    <w:p>
      <w:pPr>
        <w:pStyle w:val="Heading2"/>
      </w:pPr>
      <w:r>
        <w:t xml:space="preserve">1. Demand Pooling and Orderbook Logic</w:t>
      </w:r>
    </w:p>
    <w:p>
      <w:pPr>
        <w:spacing w:after="200" w:line="276"/>
      </w:pPr>
      <w:r>
        <w:t xml:space="preserve">A learning curve requires an orderbook. Standalone projects financed one at a time, on bespoke terms, with no coordinating logic, will never generate the repetition under common conditions that true institutional learning demands. NDC drives an orderbook of NOAK deployments; NCFC standardizes the capital stack so that each successive project unfolds under essentially the same contractual, reporting, and financial framework. Together they create the “financeable orderbook”—a repeating pattern of projects that can be underwritten on common terms.</w:t>
      </w:r>
    </w:p>
    <w:p>
      <w:pPr>
        <w:pStyle w:val="Heading2"/>
      </w:pPr>
      <w:r>
        <w:t xml:space="preserve">2. Standardization, Data Spine, and Sequencing</w:t>
      </w:r>
    </w:p>
    <w:p>
      <w:pPr>
        <w:spacing w:after="200" w:line="276"/>
      </w:pPr>
      <w:r>
        <w:t xml:space="preserve">Without standardization, pooling and securitization are unfeasible. If every project uses different cost codes, different baselines, different milestone definitions, and different reporting practices, you do not have a pool—you have a pile. NCFC is premised on the NDC imposing a standardization regime for NOAK designs: unified cost codes and baseline definitions, standardized EPC and major supplier contract templates, a common milestone structure that maps physical progress consistently across builds, and a shared data and reporting spine that allows aggregation and analysis. NCFC then makes adherence to this regime a condition of financing.</w:t>
      </w:r>
    </w:p>
    <w:p>
      <w:pPr>
        <w:pStyle w:val="Heading2"/>
      </w:pPr>
      <w:r>
        <w:t xml:space="preserve">3. Sovereign Deep-Tail Ownership, Private Mid-Band Risk</w:t>
      </w:r>
    </w:p>
    <w:p>
      <w:pPr>
        <w:spacing w:after="200" w:line="276"/>
      </w:pPr>
      <w:r>
        <w:t xml:space="preserve">The core allocation principle is simple. Deep tail and correlation risk: sovereign. Mid-band project risk: private capital stack (equity, junior debt, bank lenders). The commercial loss waterfall—dynamic PPAs, equity IRR erosion, OEM/EPC wraps, technology sponsor slices—can realistically absorb the first 25–50% of cost overruns before any sovereign facility is tapped. Sovereign capital should not occupy that middle band; doing so would crowd out private risk-bearing and create moral hazard. NCFC’s CRF therefore attaches only in the deep tail, after the full commercial stack is exhausted.</w:t>
      </w:r>
    </w:p>
    <w:p>
      <w:pPr>
        <w:pStyle w:val="Heading2"/>
      </w:pPr>
      <w:r>
        <w:t xml:space="preserve">4. FOAK/NOAK Discipline and Routing</w:t>
      </w:r>
    </w:p>
    <w:p>
      <w:pPr>
        <w:spacing w:after="200" w:line="276"/>
      </w:pPr>
      <w:r>
        <w:t xml:space="preserve">Mixing FOAK and NOAK in one program and allowing political exceptions destroys discipline. The NDC–NCFC–LPO routing rule makes the boundary explicit: NOAKs go to NCFC, FOAKs and political one-offs go to LPO. There is no National Interest Waiver inside the NCFC. The White House cannot instruct NCFC to finance a FOAK or nonstandard project by fiat. If the Administration wants such a project, it uses NDC to frame the strategic rationale and LPO to provide the loan.</w:t>
      </w:r>
    </w:p>
    <w:p>
      <w:pPr>
        <w:spacing w:after="200" w:line="276"/>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Design Principle</w:t>
            </w:r>
          </w:p>
        </w:tc>
        <w:tc>
          <w:tcPr>
            <w:tcW w:type="dxa" w:w="358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NDC Mechanisms</w:t>
            </w:r>
          </w:p>
        </w:tc>
        <w:tc>
          <w:tcPr>
            <w:tcW w:type="dxa" w:w="358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NCFC Mechanisms</w:t>
            </w:r>
          </w:p>
        </w:tc>
      </w:tr>
      <w:tr>
        <w:tc>
          <w:tcPr>
            <w:tcW w:type="dxa" w:w="22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Demand pooling &amp; orderbook</w:t>
            </w:r>
          </w:p>
        </w:tc>
        <w:tc>
          <w:tcPr>
            <w:tcW w:type="dxa" w:w="358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NOAK deployment plan; sequencing windows; demand coordination</w:t>
            </w:r>
          </w:p>
        </w:tc>
        <w:tc>
          <w:tcPr>
            <w:tcW w:type="dxa" w:w="358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Standard templates; forward take-out commitments; repeatable securitization</w:t>
            </w:r>
          </w:p>
        </w:tc>
      </w:tr>
      <w:tr>
        <w:tc>
          <w:tcPr>
            <w:tcW w:type="dxa" w:w="220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Standardization &amp; data spine</w:t>
            </w:r>
          </w:p>
        </w:tc>
        <w:tc>
          <w:tcPr>
            <w:tcW w:type="dxa" w:w="358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Standardization packages by NOAK line; milestone definitions; cost-code rules</w:t>
            </w:r>
          </w:p>
        </w:tc>
        <w:tc>
          <w:tcPr>
            <w:tcW w:type="dxa" w:w="358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Eligibility enforcement; milestone take-outs; standardized reporting; portfolio constraints</w:t>
            </w:r>
          </w:p>
        </w:tc>
      </w:tr>
      <w:tr>
        <w:tc>
          <w:tcPr>
            <w:tcW w:type="dxa" w:w="22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Sovereign deep-tail; private mid-band</w:t>
            </w:r>
          </w:p>
        </w:tc>
        <w:tc>
          <w:tcPr>
            <w:tcW w:type="dxa" w:w="358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System diagnostics; sequencing to reduce collisions</w:t>
            </w:r>
          </w:p>
        </w:tc>
        <w:tc>
          <w:tcPr>
            <w:tcW w:type="dxa" w:w="358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CRF (CLT mechanical, CTT viability-gated); resolution ladder; first-loss residual; mezz tranching</w:t>
            </w:r>
          </w:p>
        </w:tc>
      </w:tr>
      <w:tr>
        <w:tc>
          <w:tcPr>
            <w:tcW w:type="dxa" w:w="220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FOAK/NOAK discipline</w:t>
            </w:r>
          </w:p>
        </w:tc>
        <w:tc>
          <w:tcPr>
            <w:tcW w:type="dxa" w:w="358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Classifier: NOAK designation list; standards for eligibility</w:t>
            </w:r>
          </w:p>
        </w:tc>
        <w:tc>
          <w:tcPr>
            <w:tcW w:type="dxa" w:w="358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No waiver; trust eligibility rules; NOAK-only platform</w:t>
            </w:r>
          </w:p>
        </w:tc>
      </w:tr>
    </w:tbl>
    <w:p>
      <w:r>
        <w:br w:type="page"/>
      </w:r>
    </w:p>
    <w:p>
      <w:pPr>
        <w:pStyle w:val="Heading1"/>
      </w:pPr>
      <w:r>
        <w:t xml:space="preserve">III. Institutional Positioning: NCFC vs. LPO vs. TVA</w:t>
      </w:r>
    </w:p>
    <w:p>
      <w:pPr>
        <w:pStyle w:val="Heading2"/>
      </w:pPr>
      <w:r>
        <w:t xml:space="preserve">Why Not Just Expand LPO?</w:t>
      </w:r>
    </w:p>
    <w:p>
      <w:pPr>
        <w:spacing w:after="200" w:line="276"/>
      </w:pPr>
      <w:r>
        <w:t xml:space="preserve">The Loan Programs Office is a FOAK/frontier tool and a political instrument. It finances first-of-a-kind and early-deployment projects deal-by-deal, with bespoke structures. It holds loans on DOE’s balance sheet, often funded via the FFB. It provides a way for the White House and Congress to push strategic one-offs. It does not pool construction risk, it does not securitize, and it does not build a standardized asset class. NCFC is the opposite: standardized loan templates, pooled construction risk in a master trust, tranched NCBs with sovereign guarantee on seniors, and CRF and LTRF as programmatic, rules-based facilities.</w:t>
      </w:r>
    </w:p>
    <w:p>
      <w:pPr>
        <w:pStyle w:val="Heading2"/>
      </w:pPr>
      <w:r>
        <w:t xml:space="preserve">Why Not TVA 2.0?</w:t>
      </w:r>
    </w:p>
    <w:p>
      <w:pPr>
        <w:spacing w:after="200" w:line="276"/>
      </w:pPr>
      <w:r>
        <w:t xml:space="preserve">TVA has its own balance sheet and statutory authority to build generation, but it is a single utility with a bounded service territory, not a national pooling spine. It cannot force standardized cost codes on non-TVA projects, pool completion risk across the national fleet, or create a common securitization platform. TVA can be a user of NCFC. It is not a substitute.</w:t>
      </w:r>
    </w:p>
    <w:p>
      <w:pPr>
        <w:pStyle w:val="Heading2"/>
      </w:pPr>
      <w:r>
        <w:t xml:space="preserve">Why Not Just More Tax Credits or CfDs?</w:t>
      </w:r>
    </w:p>
    <w:p>
      <w:pPr>
        <w:spacing w:after="200" w:line="276"/>
      </w:pPr>
      <w:r>
        <w:t xml:space="preserve">Tax credits, CfDs, and other demand-side tweaks reduce revenue risk and narrow variance, but they do not build the missing institutional spine: they do not standardize construction finance, force unified data and cost coding, manage deep-tail completion risk in a pooled way, or create a repeatable securitization platform. NCFC sits alongside these instruments. Its job is the construction-risk and capital-market piece that no one currently owns.</w:t>
      </w:r>
    </w:p>
    <w:p>
      <w:r>
        <w:br w:type="page"/>
      </w:r>
    </w:p>
    <w:p>
      <w:pPr>
        <w:pStyle w:val="Heading1"/>
      </w:pPr>
      <w:r>
        <w:t xml:space="preserve">IV. NCFC Within the Sovereign Stack</w:t>
      </w:r>
    </w:p>
    <w:p>
      <w:pPr>
        <w:spacing w:after="200" w:line="276"/>
      </w:pPr>
      <w:r>
        <w:t xml:space="preserve">NCFC does not sit in a vacuum. It is one pillar within a broader sovereign architecture:</w:t>
      </w:r>
    </w:p>
    <w:p>
      <w:pPr>
        <w:pStyle w:val="ListParagraph"/>
        <w:numPr>
          <w:ilvl w:val="0"/>
          <w:numId w:val="2"/>
        </w:numPr>
        <w:spacing w:after="120" w:line="276"/>
      </w:pPr>
      <w:r>
        <w:t xml:space="preserve"/>
      </w:r>
      <w:r>
        <w:rPr>
          <w:b/>
          <w:bCs/>
        </w:rPr>
        <w:t xml:space="preserve">The Nuclear Deployment Council (NDC)</w:t>
      </w:r>
      <w:r>
        <w:t xml:space="preserve"> is the “general staff” for national nuclear deployment. It sets national strategy, selects and standardizes NOAK designs, manages site pipelines, defines milestone structures, orchestrates sequencing, and coordinates across agencies (DOE, NRC, FERC, EPA, DoD, Treasury, OMB).</w:t>
      </w:r>
    </w:p>
    <w:p>
      <w:pPr>
        <w:pStyle w:val="ListParagraph"/>
        <w:numPr>
          <w:ilvl w:val="0"/>
          <w:numId w:val="2"/>
        </w:numPr>
        <w:spacing w:after="120" w:line="276"/>
      </w:pPr>
      <w:r>
        <w:t xml:space="preserve"/>
      </w:r>
      <w:r>
        <w:rPr>
          <w:b/>
          <w:bCs/>
        </w:rPr>
        <w:t xml:space="preserve">Federal demand frameworks</w:t>
      </w:r>
      <w:r>
        <w:t xml:space="preserve">—PPAs, CfDs, RA/capacity contracts—anchor long-dated revenue.</w:t>
      </w:r>
    </w:p>
    <w:p>
      <w:pPr>
        <w:pStyle w:val="ListParagraph"/>
        <w:numPr>
          <w:ilvl w:val="0"/>
          <w:numId w:val="2"/>
        </w:numPr>
        <w:spacing w:after="120" w:line="276"/>
      </w:pPr>
      <w:r>
        <w:t xml:space="preserve"/>
      </w:r>
      <w:r>
        <w:rPr>
          <w:b/>
          <w:bCs/>
        </w:rPr>
        <w:t xml:space="preserve">The DOE Loan Programs Office (LPO)</w:t>
      </w:r>
      <w:r>
        <w:t xml:space="preserve"> remains the FOAK/frontier tool and the White House’s discretionary project arm.</w:t>
      </w:r>
    </w:p>
    <w:p>
      <w:pPr>
        <w:pStyle w:val="ListParagraph"/>
        <w:numPr>
          <w:ilvl w:val="0"/>
          <w:numId w:val="2"/>
        </w:numPr>
        <w:spacing w:after="120" w:line="276"/>
      </w:pPr>
      <w:r>
        <w:t xml:space="preserve"/>
      </w:r>
      <w:r>
        <w:rPr>
          <w:b/>
          <w:bCs/>
        </w:rPr>
        <w:t xml:space="preserve">NCFC</w:t>
      </w:r>
      <w:r>
        <w:t xml:space="preserve"> is the permanent construction-risk and financing organ for NOAK projects inside that environment.</w:t>
      </w:r>
    </w:p>
    <w:p>
      <w:pPr>
        <w:spacing w:after="200" w:line="276"/>
      </w:pPr>
      <w:r>
        <w:t xml:space="preserve">NDC and NCFC sit side by side. NDC defines the playing field: what is NOAK, how designs are standardized, where and when units are built, what milestones matter. NCFC finances only those projects that meet that frame, under standardized templates and eligibility rules. FOAK and frontier projects stay with LPO. NCFC begins where LPO ends.</w:t>
      </w:r>
    </w:p>
    <w:p>
      <w:pPr>
        <w:spacing w:after="200" w:line="276"/>
      </w:pPr>
      <w:r>
        <w:t xml:space="preserve">NCFC’s practical mandate is domestic civil generation. Export financing stays with EXIM/DFC and allied ECAs. NCFC’s exposure is strictly bounded: construction-phase completion risk on NDC-certified NOAK projects, and a finite post-COD window via the LTRF (maximum ~10 years). It does not finance new capex after COD, does not take decommissioning or long-run waste liability, and does not assume multi-decade merchant or recontracting risk.</w:t>
      </w:r>
    </w:p>
    <w:p>
      <w:r>
        <w:br w:type="page"/>
      </w:r>
    </w:p>
    <w:p>
      <w:pPr>
        <w:pStyle w:val="Heading1"/>
      </w:pPr>
      <w:r>
        <w:t xml:space="preserve">V. Definition, Mandate, and Legal Form</w:t>
      </w:r>
    </w:p>
    <w:p>
      <w:pPr>
        <w:pStyle w:val="Heading2"/>
      </w:pPr>
      <w:r>
        <w:t xml:space="preserve">5.1 Legal Form and Statutory Mandate</w:t>
      </w:r>
    </w:p>
    <w:p>
      <w:pPr>
        <w:spacing w:after="200" w:line="276"/>
      </w:pPr>
      <w:r>
        <w:t xml:space="preserve">NCFC is established as a wholly owned government corporation under a dedicated federal charter. It is not a bureau inside DOE or Treasury. It sits alongside entities like EXIM, Ginnie Mae, and TVA, with a narrower, technically defined mandate:</w:t>
      </w:r>
    </w:p>
    <w:p>
      <w:pPr>
        <w:pStyle w:val="ListParagraph"/>
        <w:numPr>
          <w:ilvl w:val="0"/>
          <w:numId w:val="2"/>
        </w:numPr>
        <w:spacing w:after="120" w:line="276"/>
      </w:pPr>
      <w:r>
        <w:t xml:space="preserve">Manage, pool, and securitize federally supported nuclear construction and early-operation credit exposures.</w:t>
      </w:r>
    </w:p>
    <w:p>
      <w:pPr>
        <w:pStyle w:val="ListParagraph"/>
        <w:numPr>
          <w:ilvl w:val="0"/>
          <w:numId w:val="2"/>
        </w:numPr>
        <w:spacing w:after="120" w:line="276"/>
      </w:pPr>
      <w:r>
        <w:t xml:space="preserve">Issue federally guaranteed senior NCBs via a bankruptcy-remote master trust.</w:t>
      </w:r>
    </w:p>
    <w:p>
      <w:pPr>
        <w:pStyle w:val="ListParagraph"/>
        <w:numPr>
          <w:ilvl w:val="0"/>
          <w:numId w:val="2"/>
        </w:numPr>
        <w:spacing w:after="120" w:line="276"/>
      </w:pPr>
      <w:r>
        <w:t xml:space="preserve">Operate the Completion Reserve Facility (CRF) and Long-Term Refinancing Facility (LTRF).</w:t>
      </w:r>
    </w:p>
    <w:p>
      <w:pPr>
        <w:pStyle w:val="ListParagraph"/>
        <w:numPr>
          <w:ilvl w:val="0"/>
          <w:numId w:val="2"/>
        </w:numPr>
        <w:spacing w:after="120" w:line="276"/>
      </w:pPr>
      <w:r>
        <w:t xml:space="preserve">Borrow from the Federal Financing Bank within statutory limits.</w:t>
      </w:r>
    </w:p>
    <w:p>
      <w:pPr>
        <w:pStyle w:val="ListParagraph"/>
        <w:numPr>
          <w:ilvl w:val="0"/>
          <w:numId w:val="2"/>
        </w:numPr>
        <w:spacing w:after="120" w:line="276"/>
      </w:pPr>
      <w:r>
        <w:t xml:space="preserve">Deploy Conservatorship and Capital Correction (CCC) tools under a defined resolution ladder.</w:t>
      </w:r>
    </w:p>
    <w:p>
      <w:pPr>
        <w:spacing w:after="200" w:line="276"/>
      </w:pPr>
      <w:r>
        <w:t xml:space="preserve">The charter makes three boundary conditions explicit: (1) NCFC’s mandate is limited to NDC-certified NOAK projects; (2) its exposure ends at COD plus the LTRF window—it is not a permanent plant operator; (3) it has no obligations for decommissioning or nuclear waste liabilities.</w:t>
      </w:r>
    </w:p>
    <w:p>
      <w:pPr>
        <w:pStyle w:val="Heading2"/>
      </w:pPr>
      <w:r>
        <w:t xml:space="preserve">5.2 Capitalization and Ownership</w:t>
      </w:r>
    </w:p>
    <w:p>
      <w:pPr>
        <w:spacing w:after="200" w:line="276"/>
      </w:pPr>
      <w:r>
        <w:t xml:space="preserve">NCFC’s loss-absorbing capital stack has three layers:</w:t>
      </w:r>
    </w:p>
    <w:p>
      <w:pPr>
        <w:pStyle w:val="Heading3"/>
      </w:pPr>
      <w:r>
        <w:t xml:space="preserve">Congressional Equity Appropriation</w:t>
      </w:r>
    </w:p>
    <w:p>
      <w:pPr>
        <w:spacing w:after="200" w:line="276"/>
      </w:pPr>
      <w:r>
        <w:t xml:space="preserve">A large, explicit equity appropriation is the primary capital base. It sits junior to all NCBs, capitalizes the CRF at inception, and backs NCFC’s retained residual interest in the master trust. This is the core “sovereign skin in the game” that underwrites deep-tail risk and anchors FCRA subsidy scoring.</w:t>
      </w:r>
    </w:p>
    <w:p>
      <w:pPr>
        <w:pStyle w:val="Heading3"/>
      </w:pPr>
      <w:r>
        <w:t xml:space="preserve">Non-Voting Industry Member Capital</w:t>
      </w:r>
    </w:p>
    <w:p>
      <w:pPr>
        <w:spacing w:after="200" w:line="276"/>
      </w:pPr>
      <w:r>
        <w:t xml:space="preserve">A smaller, non-voting, capped-return share class can be subscribed by eligible industry participants—regulated and unregulated utilities, munis/co-ops, large offtakers, OEMs/EPCs, long-horizon infrastructure funds. This capital is subordinated to all senior NCBs, receives only modest corridor-bounded dividends, has no board seats, no voting rights, and no deal-level influence. It functions purely as alignment capital and additional first-loss capacity. Industry equity is alignment capital, not governance capital.</w:t>
      </w:r>
    </w:p>
    <w:p>
      <w:pPr>
        <w:pStyle w:val="Heading3"/>
      </w:pPr>
      <w:r>
        <w:t xml:space="preserve">Premium-Funded CRF Capital</w:t>
      </w:r>
    </w:p>
    <w:p>
      <w:pPr>
        <w:spacing w:after="200" w:line="276"/>
      </w:pPr>
      <w:r>
        <w:t xml:space="preserve">The Completion Reserve Facility is capitalized through risk-based program fees on NCFC-backed projects, federal seed capital, and income/recoveries from CLT/CTT/CCC. It is legally ring-fenced and behaves as deep-tail portfolio capital underpinning NCFC’s first-loss residual in the master trust.</w:t>
      </w:r>
    </w:p>
    <w:p>
      <w:pPr>
        <w:spacing w:after="200" w:line="276"/>
      </w:pPr>
      <w:r>
        <w:t xml:space="preserve">The structure is intentionally “credit first, return second.” Expected ROE is modest. The design goal is solvency, resilience, and political durability, not maximizing return on equity.</w:t>
      </w:r>
    </w:p>
    <w:p>
      <w:pPr>
        <w:pStyle w:val="Heading2"/>
      </w:pPr>
      <w:r>
        <w:t xml:space="preserve">5.3 Senior Funding Model</w:t>
      </w:r>
    </w:p>
    <w:p>
      <w:pPr>
        <w:spacing w:after="200" w:line="276"/>
      </w:pPr>
      <w:r>
        <w:t xml:space="preserve">Senior funding is a hybrid of sovereign and market channels:</w:t>
      </w:r>
    </w:p>
    <w:p>
      <w:pPr>
        <w:pStyle w:val="ListParagraph"/>
        <w:numPr>
          <w:ilvl w:val="0"/>
          <w:numId w:val="2"/>
        </w:numPr>
        <w:spacing w:after="120" w:line="276"/>
      </w:pPr>
      <w:r>
        <w:t xml:space="preserve"/>
      </w:r>
      <w:r>
        <w:rPr>
          <w:b/>
          <w:bCs/>
        </w:rPr>
        <w:t xml:space="preserve">Primary source:</w:t>
      </w:r>
      <w:r>
        <w:t xml:space="preserve"> Borrowing from, or outright purchase of senior NCBs by, the FFB at Treasury-linked rates.</w:t>
      </w:r>
    </w:p>
    <w:p>
      <w:pPr>
        <w:pStyle w:val="ListParagraph"/>
        <w:numPr>
          <w:ilvl w:val="0"/>
          <w:numId w:val="2"/>
        </w:numPr>
        <w:spacing w:after="120" w:line="276"/>
      </w:pPr>
      <w:r>
        <w:t xml:space="preserve"/>
      </w:r>
      <w:r>
        <w:rPr>
          <w:b/>
          <w:bCs/>
        </w:rPr>
        <w:t xml:space="preserve">Supplemental source:</w:t>
      </w:r>
      <w:r>
        <w:t xml:space="preserve"> Issuance of explicitly guaranteed Class A NCBs into public markets for price discovery, investor-base building, and liquidity, subject to Treasury concurrence.</w:t>
      </w:r>
    </w:p>
    <w:p>
      <w:pPr>
        <w:pStyle w:val="ListParagraph"/>
        <w:numPr>
          <w:ilvl w:val="0"/>
          <w:numId w:val="2"/>
        </w:numPr>
        <w:spacing w:after="120" w:line="276"/>
      </w:pPr>
      <w:r>
        <w:t xml:space="preserve"/>
      </w:r>
      <w:r>
        <w:rPr>
          <w:b/>
          <w:bCs/>
        </w:rPr>
        <w:t xml:space="preserve">Always:</w:t>
      </w:r>
      <w:r>
        <w:t xml:space="preserve"> Unguaranteed mezzanine NCBs placed with private investors, and NCFC/CRF holding the residual first-loss position.</w:t>
      </w:r>
    </w:p>
    <w:p>
      <w:r>
        <w:br w:type="page"/>
      </w:r>
    </w:p>
    <w:p>
      <w:pPr>
        <w:pStyle w:val="Heading1"/>
      </w:pPr>
      <w:r>
        <w:t xml:space="preserve">VI. Eligibility, Scope, and the SPV Requirement</w:t>
      </w:r>
    </w:p>
    <w:p>
      <w:pPr>
        <w:pStyle w:val="Heading2"/>
      </w:pPr>
      <w:r>
        <w:t xml:space="preserve">6.1 FOAK vs. NOAK Routing</w:t>
      </w:r>
    </w:p>
    <w:p>
      <w:pPr>
        <w:spacing w:after="200" w:line="276"/>
      </w:pPr>
      <w:r>
        <w:t xml:space="preserve">The FOAK/NOAK line is not set by NCFC. It is set by the NDC, via its NOAK designation list and standardization packages. The routing rule is deliberately simple:</w:t>
      </w:r>
    </w:p>
    <w:p>
      <w:pPr>
        <w:pStyle w:val="ListParagraph"/>
        <w:numPr>
          <w:ilvl w:val="0"/>
          <w:numId w:val="2"/>
        </w:numPr>
        <w:spacing w:after="120" w:line="276"/>
      </w:pPr>
      <w:r>
        <w:t xml:space="preserve">If a project meets NDC’s NOAK standards for the relevant design and deployment context, and complies with NCFC’s structural rules (SPV, wholesale revenue, reporting), it is NCFC-eligible.</w:t>
      </w:r>
    </w:p>
    <w:p>
      <w:pPr>
        <w:pStyle w:val="ListParagraph"/>
        <w:numPr>
          <w:ilvl w:val="0"/>
          <w:numId w:val="2"/>
        </w:numPr>
        <w:spacing w:after="120" w:line="276"/>
      </w:pPr>
      <w:r>
        <w:t xml:space="preserve">If it does not, it is FOAK/frontier by definition and is routed to DOE/LPO.</w:t>
      </w:r>
    </w:p>
    <w:p>
      <w:pPr>
        <w:spacing w:after="200" w:line="276"/>
      </w:pPr>
      <w:r>
        <w:t xml:space="preserve">NCFC is insulated from frontier tech risk and from White House one-offs. Its job begins where LPO’s FOAK work leaves off.</w:t>
      </w:r>
    </w:p>
    <w:p>
      <w:pPr>
        <w:pStyle w:val="Heading2"/>
      </w:pPr>
      <w:r>
        <w:t xml:space="preserve">6.2 SPV + Wholesale Revenue Requirement</w:t>
      </w:r>
    </w:p>
    <w:p>
      <w:pPr>
        <w:spacing w:after="200" w:line="276"/>
      </w:pPr>
      <w:r>
        <w:t xml:space="preserve">To eliminate retail ratemaking/prudence risk from the NCFC capital stack, eligibility is restricted to projects structured as a project SPV that owns the plant and is the direct borrower under Construction and LTRF Notes. Revenues at the SPV level must derive from wholesale contracts and/or comparable instruments: long-term PPAs, CfDs, RA contracts, capacity contracts, PUC-approved cost-of-service PPAs—not discretionary retail cost-of-service rate-base recovery.</w:t>
      </w:r>
    </w:p>
    <w:p>
      <w:pPr>
        <w:spacing w:after="200" w:line="276"/>
      </w:pPr>
      <w:r>
        <w:t xml:space="preserve">The SPV rule ring-fences NCFC collateral from PUC prudence fights, makes CCC and potential plant transfer economically coherent (stepping into a wholesale revenue-based project company, not into a vertically integrated utility balance sheet), and aligns the RSF with actual contract structures rather than retail models.</w:t>
      </w:r>
    </w:p>
    <w:p>
      <w:pPr>
        <w:pStyle w:val="Heading2"/>
      </w:pPr>
      <w:r>
        <w:t xml:space="preserve">6.3 Scope Boundaries</w:t>
      </w:r>
    </w:p>
    <w:p>
      <w:pPr>
        <w:spacing w:after="200" w:line="276"/>
      </w:pPr>
      <w:r>
        <w:t xml:space="preserve">NCFC’s obligations are deliberately narrow:</w:t>
      </w:r>
    </w:p>
    <w:p>
      <w:pPr>
        <w:pStyle w:val="ListParagraph"/>
        <w:numPr>
          <w:ilvl w:val="0"/>
          <w:numId w:val="2"/>
        </w:numPr>
        <w:spacing w:after="120" w:line="276"/>
      </w:pPr>
      <w:r>
        <w:t xml:space="preserve">No development risk or pre-FID platform risk.</w:t>
      </w:r>
    </w:p>
    <w:p>
      <w:pPr>
        <w:pStyle w:val="ListParagraph"/>
        <w:numPr>
          <w:ilvl w:val="0"/>
          <w:numId w:val="2"/>
        </w:numPr>
        <w:spacing w:after="120" w:line="276"/>
      </w:pPr>
      <w:r>
        <w:t xml:space="preserve">No FOAK technology.</w:t>
      </w:r>
    </w:p>
    <w:p>
      <w:pPr>
        <w:pStyle w:val="ListParagraph"/>
        <w:numPr>
          <w:ilvl w:val="0"/>
          <w:numId w:val="2"/>
        </w:numPr>
        <w:spacing w:after="120" w:line="276"/>
      </w:pPr>
      <w:r>
        <w:t xml:space="preserve">No decommissioning or nuclear-waste liabilities.</w:t>
      </w:r>
    </w:p>
    <w:p>
      <w:pPr>
        <w:pStyle w:val="ListParagraph"/>
        <w:numPr>
          <w:ilvl w:val="0"/>
          <w:numId w:val="2"/>
        </w:numPr>
        <w:spacing w:after="120" w:line="276"/>
      </w:pPr>
      <w:r>
        <w:t xml:space="preserve">No long-run merchant tail or recontracting risk beyond the LTRF horizon.</w:t>
      </w:r>
    </w:p>
    <w:p>
      <w:pPr>
        <w:pStyle w:val="ListParagraph"/>
        <w:numPr>
          <w:ilvl w:val="0"/>
          <w:numId w:val="2"/>
        </w:numPr>
        <w:spacing w:after="120" w:line="276"/>
      </w:pPr>
      <w:r>
        <w:t xml:space="preserve">No ongoing operating support outside the LTRF window.</w:t>
      </w:r>
    </w:p>
    <w:p>
      <w:pPr>
        <w:pBdr>
          <w:left w:val="single" w:color="2E5984" w:sz="12" w:space="8"/>
        </w:pBdr>
        <w:spacing w:after="200" w:line="276"/>
        <w:ind w:left="720" w:right="720"/>
      </w:pPr>
      <w:r>
        <w:rPr>
          <w:i/>
          <w:iCs/>
          <w:color w:val="2E5984"/>
        </w:rPr>
        <w:t xml:space="preserve">NCFC is a construction and early-operation completion platform, not a full-lifecycle nuclear owner.</w:t>
      </w:r>
    </w:p>
    <w:p>
      <w:r>
        <w:br w:type="page"/>
      </w:r>
    </w:p>
    <w:p>
      <w:pPr>
        <w:pStyle w:val="Heading1"/>
      </w:pPr>
      <w:r>
        <w:t xml:space="preserve">VII. Core Operating Model: From Bank Loans to NCBs</w:t>
      </w:r>
    </w:p>
    <w:p>
      <w:pPr>
        <w:spacing w:after="200" w:line="276"/>
      </w:pPr>
      <w:r>
        <w:t xml:space="preserve">At the heart of NCFC is a simple operating loop:</w:t>
      </w:r>
    </w:p>
    <w:p>
      <w:pPr>
        <w:pStyle w:val="ListParagraph"/>
        <w:numPr>
          <w:ilvl w:val="0"/>
          <w:numId w:val="3"/>
        </w:numPr>
        <w:spacing w:after="120" w:line="276"/>
      </w:pPr>
      <w:r>
        <w:t xml:space="preserve">Banks originate construction loans for NDC-qualified NOAK projects.</w:t>
      </w:r>
    </w:p>
    <w:p>
      <w:pPr>
        <w:pStyle w:val="ListParagraph"/>
        <w:numPr>
          <w:ilvl w:val="0"/>
          <w:numId w:val="3"/>
        </w:numPr>
        <w:spacing w:after="120" w:line="276"/>
      </w:pPr>
      <w:r>
        <w:t xml:space="preserve">NDC-defined physical milestones are reached and verified by independent engineers.</w:t>
      </w:r>
    </w:p>
    <w:p>
      <w:pPr>
        <w:pStyle w:val="ListParagraph"/>
        <w:numPr>
          <w:ilvl w:val="0"/>
          <w:numId w:val="3"/>
        </w:numPr>
        <w:spacing w:after="120" w:line="276"/>
      </w:pPr>
      <w:r>
        <w:t xml:space="preserve">NCFC buys a large share of funded exposure at each gate and novates it into a standardized Construction Note.</w:t>
      </w:r>
    </w:p>
    <w:p>
      <w:pPr>
        <w:pStyle w:val="ListParagraph"/>
        <w:numPr>
          <w:ilvl w:val="0"/>
          <w:numId w:val="3"/>
        </w:numPr>
        <w:spacing w:after="120" w:line="276"/>
      </w:pPr>
      <w:r>
        <w:t xml:space="preserve">Construction Notes, and later LTRF Notes, are pooled in a master trust.</w:t>
      </w:r>
    </w:p>
    <w:p>
      <w:pPr>
        <w:pStyle w:val="ListParagraph"/>
        <w:numPr>
          <w:ilvl w:val="0"/>
          <w:numId w:val="3"/>
        </w:numPr>
        <w:spacing w:after="120" w:line="276"/>
      </w:pPr>
      <w:r>
        <w:t xml:space="preserve">The trust funds itself via NCBs, with CRF standing behind deep-tail risk.</w:t>
      </w:r>
    </w:p>
    <w:p>
      <w:pPr>
        <w:pStyle w:val="Heading2"/>
      </w:pPr>
      <w:r>
        <w:t xml:space="preserve">7.1 Bank-Originated Construction Facilities</w:t>
      </w:r>
    </w:p>
    <w:p>
      <w:pPr>
        <w:spacing w:after="200" w:line="276"/>
      </w:pPr>
      <w:r>
        <w:t xml:space="preserve">Each eligible project starts with a conventional floating-rate construction facility from a bank group: floating (e.g., SOFR + margin), first-lien on plant and key assets, advances drawn against physical progress, interest during construction fully capitalized, no amortization or cash interest prior to COD. NCFC is not in the credit stack at this point. It has issued a forward take-out commitment, but bears no funding obligation or risk while the facility sits entirely on bank balance sheets.</w:t>
      </w:r>
    </w:p>
    <w:p>
      <w:pPr>
        <w:pStyle w:val="Heading2"/>
      </w:pPr>
      <w:r>
        <w:t xml:space="preserve">7.2 Milestone-Based Take-Outs</w:t>
      </w:r>
    </w:p>
    <w:p>
      <w:pPr>
        <w:spacing w:after="200" w:line="276"/>
      </w:pPr>
      <w:r>
        <w:t xml:space="preserve">NDC defines a set of physical, engineering milestones for each NOAK line (e.g., containment completion, major module placement, hot functional testing). These are not dates or “percent of budget”—they are deterministic build steps. A stylized pattern is four gates at roughly 20/40/60/80% physical completion, but the exact sequence is design-specific.</w:t>
      </w:r>
    </w:p>
    <w:p>
      <w:pPr>
        <w:spacing w:after="200" w:line="276"/>
      </w:pPr>
      <w:r>
        <w:t xml:space="preserve">At each gate: an independent engineer (IE) under NCFC standard terms certifies milestone completion. If the milestone is not met, NCFC does nothing; banks continue to hold 100% of the tranche. If it is met, NCFC purchases a pre-agreed share (e.g., 80%) of the funded principal. Banks retain a through-COD strip (e.g., 20%) on every draw. This binds NCFC’s exposure to verified progress and ensures banks keep skin in the game until COD.</w:t>
      </w:r>
    </w:p>
    <w:p>
      <w:pPr>
        <w:pStyle w:val="Heading2"/>
      </w:pPr>
      <w:r>
        <w:t xml:space="preserve">7.3 NCFC Construction Notes</w:t>
      </w:r>
    </w:p>
    <w:p>
      <w:pPr>
        <w:spacing w:after="200" w:line="276"/>
      </w:pPr>
      <w:r>
        <w:t xml:space="preserve">Each purchased slice is novated into a standardized NCFC Construction Note: senior, first-lien, pari passu with the banks’ retained construction debt. Coupon is fixed at take-out as the Treasury yield for the relevant maturity plus a standard spread for that risk bucket. Interest during construction is fully capitalized (PIK). Bullet principal, with legal maturity set beyond expected COD to allow slippage; economically expected to refinance at or near COD. Construction Notes are the PIK, senior collateral the master trust will ultimately hold.</w:t>
      </w:r>
    </w:p>
    <w:p>
      <w:r>
        <w:br w:type="page"/>
      </w:r>
    </w:p>
    <w:p>
      <w:pPr>
        <w:pStyle w:val="Heading1"/>
      </w:pPr>
      <w:r>
        <w:t xml:space="preserve">VIII. The Commercial Loss Waterfall</w:t>
      </w:r>
    </w:p>
    <w:p>
      <w:pPr>
        <w:spacing w:after="200" w:line="276"/>
      </w:pPr>
      <w:r>
        <w:t xml:space="preserve">Before sovereign capital is ever deployed, the architecture requires that a substantial commercial loss stack absorb mid-band cost overruns. This stack was validated through detailed engagement with infrastructure financing professionals at major investment banks and represents the realistic layers of risk absorption available in the market:</w:t>
      </w:r>
    </w:p>
    <w:p>
      <w:pPr>
        <w:pStyle w:val="ListParagraph"/>
        <w:numPr>
          <w:ilvl w:val="0"/>
          <w:numId w:val="3"/>
        </w:numPr>
        <w:spacing w:after="120" w:line="276"/>
      </w:pPr>
      <w:r>
        <w:t xml:space="preserve"/>
      </w:r>
      <w:r>
        <w:rPr>
          <w:b/>
          <w:bCs/>
        </w:rPr>
        <w:t xml:space="preserve">Dynamic Hyperscaler PPAs.</w:t>
      </w:r>
      <w:r>
        <w:t xml:space="preserve"> Large, investment-grade buyers sign PPAs with a base price (e.g., $120/MWh) and an upper cap (e.g., $150/MWh). The step from base to cap implicitly dedicates part of the revenue stack to absorbing cost overruns. This can plausibly absorb on the order of ~20–30% overruns.</w:t>
      </w:r>
    </w:p>
    <w:p>
      <w:pPr>
        <w:pStyle w:val="ListParagraph"/>
        <w:numPr>
          <w:ilvl w:val="0"/>
          <w:numId w:val="3"/>
        </w:numPr>
        <w:spacing w:after="120" w:line="276"/>
      </w:pPr>
      <w:r>
        <w:t xml:space="preserve"/>
      </w:r>
      <w:r>
        <w:rPr>
          <w:b/>
          <w:bCs/>
        </w:rPr>
        <w:t xml:space="preserve">Equity IRR Erosion.</w:t>
      </w:r>
      <w:r>
        <w:t xml:space="preserve"> Infrastructure equity investors accept IRR erosion rather than immediate wipeout—dropping from a 16% target to 10% to keep the project viable. Another meaningful band of overrun absorption.</w:t>
      </w:r>
    </w:p>
    <w:p>
      <w:pPr>
        <w:pStyle w:val="ListParagraph"/>
        <w:numPr>
          <w:ilvl w:val="0"/>
          <w:numId w:val="3"/>
        </w:numPr>
        <w:spacing w:after="120" w:line="276"/>
      </w:pPr>
      <w:r>
        <w:t xml:space="preserve"/>
      </w:r>
      <w:r>
        <w:rPr>
          <w:b/>
          <w:bCs/>
        </w:rPr>
        <w:t xml:space="preserve">OEM Partial Wraps.</w:t>
      </w:r>
      <w:r>
        <w:t xml:space="preserve"> OEMs can provide guarantees or performance wraps on specific components or subsystems, but not the entire project. Thin but additive.</w:t>
      </w:r>
    </w:p>
    <w:p>
      <w:pPr>
        <w:pStyle w:val="ListParagraph"/>
        <w:numPr>
          <w:ilvl w:val="0"/>
          <w:numId w:val="3"/>
        </w:numPr>
        <w:spacing w:after="120" w:line="276"/>
      </w:pPr>
      <w:r>
        <w:t xml:space="preserve"/>
      </w:r>
      <w:r>
        <w:rPr>
          <w:b/>
          <w:bCs/>
        </w:rPr>
        <w:t xml:space="preserve">EPC Partial Wraps.</w:t>
      </w:r>
      <w:r>
        <w:t xml:space="preserve"> EPCs can wrap non-nuclear-island portions under lump-sum / GMP structures. Expensive, but a real layer.</w:t>
      </w:r>
    </w:p>
    <w:p>
      <w:pPr>
        <w:pStyle w:val="ListParagraph"/>
        <w:numPr>
          <w:ilvl w:val="0"/>
          <w:numId w:val="3"/>
        </w:numPr>
        <w:spacing w:after="120" w:line="276"/>
      </w:pPr>
      <w:r>
        <w:t xml:space="preserve"/>
      </w:r>
      <w:r>
        <w:rPr>
          <w:b/>
          <w:bCs/>
        </w:rPr>
        <w:t xml:space="preserve">Technology Sponsor / Strategic Investor Slices.</w:t>
      </w:r>
      <w:r>
        <w:t xml:space="preserve"> Strategic players (e.g., a vertically integrated nuclear platform) can absorb additional structured risk slices.</w:t>
      </w:r>
    </w:p>
    <w:p>
      <w:pPr>
        <w:spacing w:after="200" w:line="276"/>
      </w:pPr>
      <w:r>
        <w:t xml:space="preserve">Collectively, this stack can plausibly cover 25–50% of cost overruns before any sovereign facility is tapped. NCFC’s CRF deliberately sits behind all of this. The loss waterfall is continuous—there is no “valley of overrun death” between the commercial stack and the sovereign backstop.</w:t>
      </w:r>
    </w:p>
    <w:p>
      <w:r>
        <w:br w:type="page"/>
      </w:r>
    </w:p>
    <w:p>
      <w:pPr>
        <w:pStyle w:val="Heading1"/>
      </w:pPr>
      <w:r>
        <w:t xml:space="preserve">IX. Completion Reserve Facility (CRF)</w:t>
      </w:r>
    </w:p>
    <w:p>
      <w:pPr>
        <w:spacing w:after="200" w:line="276"/>
      </w:pPr>
      <w:r>
        <w:t xml:space="preserve">CRF is NCFC’s deep-tail completion-risk instrument. It ensures that nuclear projects financed through NCFC reach completion even in the face of severe overruns, protects the integrity of NCFC-issued securities, and reduces systemic risk by absorbing catastrophic overrun shocks that would otherwise halt projects mid-construction.</w:t>
      </w:r>
    </w:p>
    <w:p>
      <w:pPr>
        <w:pStyle w:val="Heading2"/>
      </w:pPr>
      <w:r>
        <w:t xml:space="preserve">9.1 Program Baseline B₀</w:t>
      </w:r>
    </w:p>
    <w:p>
      <w:pPr>
        <w:spacing w:after="200" w:line="276"/>
      </w:pPr>
      <w:r>
        <w:t xml:space="preserve">All deep-tail controls are defined relative to a baseline cost B₀ set at FID. That baseline is determined by NCFC in coordination with NDC, built using reference-class forecasting and standardization data for the NOAK design and deployment context. It is not simply the sponsor’s EPC number or internal budget.</w:t>
      </w:r>
    </w:p>
    <w:p>
      <w:pPr>
        <w:pBdr>
          <w:left w:val="single" w:color="2E5984" w:sz="12" w:space="8"/>
        </w:pBdr>
        <w:spacing w:after="200" w:line="276"/>
        <w:ind w:left="720" w:right="720"/>
      </w:pPr>
      <w:r>
        <w:rPr>
          <w:i/>
          <w:iCs/>
          <w:color w:val="2E5984"/>
        </w:rPr>
        <w:t xml:space="preserve">Bootstrap acknowledgment: For the first NCFC project cohort, B₀ will necessarily be constructed from international comparators (Korean APR1400, UAE Barakah, Chinese HPR1000 series costs), engineering estimates, EPC proposals, and informed judgment—not from the actuarial data that subsequent cohorts will enjoy. Reference-class forecasting is designed for sparse data environments and uses the full distribution of comparable projects, but early baselines carry more uncertainty. To compensate: (1) conservative uplift adjustments should be applied to first-cohort baselines; (2) CRF attach bands should be wider for early projects; and (3) NCFC’s data mandate—standardized cost codes, mandatory post-mortems, unified reporting—must be statutory, not aspirational, so that subsequent baselines improve rapidly.</w:t>
      </w:r>
    </w:p>
    <w:p>
      <w:pPr>
        <w:pStyle w:val="Heading2"/>
      </w:pPr>
      <w:r>
        <w:t xml:space="preserve">9.2 Deep-Tail Attach Thresholds</w:t>
      </w:r>
    </w:p>
    <w:p>
      <w:pPr>
        <w:spacing w:after="200" w:line="276"/>
      </w:pPr>
      <w:r>
        <w:t xml:space="preserve">CRF sits deep in the capital structure, after contingencies, dynamic PPAs, equity IRR compression, OEM/EPC wraps, and sponsor/strategic slices have already absorbed mid-band overruns:</w:t>
      </w:r>
    </w:p>
    <w:p>
      <w:pPr>
        <w:pStyle w:val="ListParagraph"/>
        <w:numPr>
          <w:ilvl w:val="0"/>
          <w:numId w:val="2"/>
        </w:numPr>
        <w:spacing w:after="120" w:line="276"/>
      </w:pPr>
      <w:r>
        <w:t xml:space="preserve"/>
      </w:r>
      <w:r>
        <w:rPr>
          <w:b/>
          <w:bCs/>
        </w:rPr>
        <w:t xml:space="preserve">CLT (Completion Loan Tranche)</w:t>
      </w:r>
      <w:r>
        <w:t xml:space="preserve"> becomes available when total all-in costs exceed approximately 160% of B₀.</w:t>
      </w:r>
    </w:p>
    <w:p>
      <w:pPr>
        <w:pStyle w:val="ListParagraph"/>
        <w:numPr>
          <w:ilvl w:val="0"/>
          <w:numId w:val="2"/>
        </w:numPr>
        <w:spacing w:after="120" w:line="276"/>
      </w:pPr>
      <w:r>
        <w:t xml:space="preserve"/>
      </w:r>
      <w:r>
        <w:rPr>
          <w:b/>
          <w:bCs/>
        </w:rPr>
        <w:t xml:space="preserve">CTT (Catastrophic Tail Tranche)</w:t>
      </w:r>
      <w:r>
        <w:t xml:space="preserve"> becomes available in the region above approximately 180% of B₀.</w:t>
      </w:r>
    </w:p>
    <w:p>
      <w:pPr>
        <w:spacing w:after="200" w:line="276"/>
      </w:pPr>
      <w:r>
        <w:t xml:space="preserve">These are eligibility bands, not automatic draws. CRF’s role is to ensure that if a project is otherwise viable, the tail of the distribution is capped and managed coherently rather than spilling into abandonment or ad-hoc bailouts.</w:t>
      </w:r>
    </w:p>
    <w:p>
      <w:pPr>
        <w:pBdr>
          <w:left w:val="single" w:color="2E5984" w:sz="12" w:space="8"/>
        </w:pBdr>
        <w:spacing w:after="200" w:line="276"/>
        <w:ind w:left="720" w:right="720"/>
      </w:pPr>
      <w:r>
        <w:rPr>
          <w:i/>
          <w:iCs/>
          <w:color w:val="2E5984"/>
        </w:rPr>
        <w:t xml:space="preserve">Empirical anchor: INL’s 2024 Advanced Reactor Cost Assessment reports mean nuclear cost overruns of 241.4% and a maximum of 1,279.7%. Budzier &amp; Flyvbjerg (2018) find a P80 uplift of 202% for the nuclear reference class. Given that the commercial loss waterfall absorbs the first 25–50% of overruns, CLT at ~160% of B₀ sits in the zone where projects are severely overrun but where the commercial stack is exhausted and sovereign intervention can preserve value. CTT at ~180% marks the entry to the catastrophic region where historical projects have frequently become unrecoverable. These thresholds are illustrative and subject to calibration as NCFC’s data spine matures. Attach bands are held constant from day one—the sovereign accepts higher per-project risk in early years as the price of demonstrating the architecture and building the data spine (see Section XV).</w:t>
      </w:r>
    </w:p>
    <w:p>
      <w:pPr>
        <w:pStyle w:val="Heading2"/>
      </w:pPr>
      <w:r>
        <w:t xml:space="preserve">9.3 CLT: Completion Loan Tranche</w:t>
      </w:r>
    </w:p>
    <w:p>
      <w:pPr>
        <w:spacing w:after="200" w:line="276"/>
      </w:pPr>
      <w:r>
        <w:t xml:space="preserve">CLT is a subordinated, penalty-rate bridge facility designed to close viable but deeply overrun projects without creating mid-band moral hazard:</w:t>
      </w:r>
    </w:p>
    <w:p>
      <w:pPr>
        <w:pStyle w:val="ListParagraph"/>
        <w:numPr>
          <w:ilvl w:val="0"/>
          <w:numId w:val="2"/>
        </w:numPr>
        <w:spacing w:after="120" w:line="276"/>
      </w:pPr>
      <w:r>
        <w:t xml:space="preserve">Subordinated to all NCFC senior/project debt, senior to sponsor equity.</w:t>
      </w:r>
    </w:p>
    <w:p>
      <w:pPr>
        <w:pStyle w:val="ListParagraph"/>
        <w:numPr>
          <w:ilvl w:val="0"/>
          <w:numId w:val="2"/>
        </w:numPr>
        <w:spacing w:after="120" w:line="276"/>
      </w:pPr>
      <w:r>
        <w:t xml:space="preserve">Penalty rate: +300–500 bps above project debt cost.</w:t>
      </w:r>
    </w:p>
    <w:p>
      <w:pPr>
        <w:pStyle w:val="ListParagraph"/>
        <w:numPr>
          <w:ilvl w:val="0"/>
          <w:numId w:val="2"/>
        </w:numPr>
        <w:spacing w:after="120" w:line="276"/>
      </w:pPr>
      <w:r>
        <w:t xml:space="preserve">Deferred cash interest with a rebate for early repayment.</w:t>
      </w:r>
    </w:p>
    <w:p>
      <w:pPr>
        <w:pStyle w:val="ListParagraph"/>
        <w:numPr>
          <w:ilvl w:val="0"/>
          <w:numId w:val="2"/>
        </w:numPr>
        <w:spacing w:after="120" w:line="276"/>
      </w:pPr>
      <w:r>
        <w:t xml:space="preserve">Repayable post-COD from project revenues.</w:t>
      </w:r>
    </w:p>
    <w:p>
      <w:pPr>
        <w:pStyle w:val="ListParagraph"/>
        <w:numPr>
          <w:ilvl w:val="0"/>
          <w:numId w:val="2"/>
        </w:numPr>
        <w:spacing w:after="120" w:line="276"/>
      </w:pPr>
      <w:r>
        <w:t xml:space="preserve">Triggers NCFC step-in rights: revenue sweeps, contractor replacement, restructuring.</w:t>
      </w:r>
    </w:p>
    <w:p>
      <w:pPr>
        <w:spacing w:after="200" w:line="276"/>
      </w:pPr>
      <w:r>
        <w:t xml:space="preserve">CLT is mechanically available once conditions and thresholds are met, absent fraud or regulatory collapse. There is no separate “viability gate” at CLT—the viability question is reserved for CTT.</w:t>
      </w:r>
    </w:p>
    <w:p>
      <w:pPr>
        <w:pStyle w:val="ListParagraph"/>
        <w:numPr>
          <w:ilvl w:val="0"/>
          <w:numId w:val="2"/>
        </w:numPr>
        <w:spacing w:after="120" w:line="276"/>
      </w:pPr>
      <w:r>
        <w:t xml:space="preserve">Sponsors must contribute additional equity pari passu with any CLT injection (floor: 25–40% of overrun amount).</w:t>
      </w:r>
    </w:p>
    <w:p>
      <w:pPr>
        <w:pStyle w:val="Heading2"/>
      </w:pPr>
      <w:r>
        <w:t xml:space="preserve">9.4 CTT: Catastrophic Tail Tranche</w:t>
      </w:r>
    </w:p>
    <w:p>
      <w:pPr>
        <w:spacing w:after="200" w:line="276"/>
      </w:pPr>
      <w:r>
        <w:t xml:space="preserve">CTT is the last-resort deep tail, implemented via Convertible Contingent Capital (CCC). Here there is a full viability test: CTT is deployed only if completing the project and taking it into operation is clearly superior to abandonment, and if the SPV’s wholesale revenue structure supports an acceptable long-term debt stack.</w:t>
      </w:r>
    </w:p>
    <w:p>
      <w:pPr>
        <w:spacing w:after="200" w:line="276"/>
      </w:pPr>
      <w:r>
        <w:t xml:space="preserve">If the viability test is passed, NCFC deploys CCC tools under a bounded resolution ladder:</w:t>
      </w:r>
    </w:p>
    <w:p>
      <w:pPr>
        <w:pStyle w:val="ListParagraph"/>
        <w:numPr>
          <w:ilvl w:val="0"/>
          <w:numId w:val="2"/>
        </w:numPr>
        <w:spacing w:after="120" w:line="276"/>
      </w:pPr>
      <w:r>
        <w:t xml:space="preserve"/>
      </w:r>
      <w:r>
        <w:rPr>
          <w:b/>
          <w:bCs/>
        </w:rPr>
        <w:t xml:space="preserve">CCC without possession:</w:t>
      </w:r>
      <w:r>
        <w:t xml:space="preserve"> bridges late-stage liquidity gaps when the incremental capital need is modest and execution remains credible.</w:t>
      </w:r>
    </w:p>
    <w:p>
      <w:pPr>
        <w:pStyle w:val="ListParagraph"/>
        <w:numPr>
          <w:ilvl w:val="0"/>
          <w:numId w:val="2"/>
        </w:numPr>
        <w:spacing w:after="120" w:line="276"/>
      </w:pPr>
      <w:r>
        <w:t xml:space="preserve"/>
      </w:r>
      <w:r>
        <w:rPr>
          <w:b/>
          <w:bCs/>
        </w:rPr>
        <w:t xml:space="preserve">Step-in and manager replacement:</w:t>
      </w:r>
      <w:r>
        <w:t xml:space="preserve"> used when governance failure is binding.</w:t>
      </w:r>
    </w:p>
    <w:p>
      <w:pPr>
        <w:pStyle w:val="ListParagraph"/>
        <w:numPr>
          <w:ilvl w:val="0"/>
          <w:numId w:val="2"/>
        </w:numPr>
        <w:spacing w:after="120" w:line="276"/>
      </w:pPr>
      <w:r>
        <w:t xml:space="preserve"/>
      </w:r>
      <w:r>
        <w:rPr>
          <w:b/>
          <w:bCs/>
        </w:rPr>
        <w:t xml:space="preserve">Temporary conservatorship with equity wipe:</w:t>
      </w:r>
      <w:r>
        <w:t xml:space="preserve"> reserved as last resort when the project cannot be stabilized without control.</w:t>
      </w:r>
    </w:p>
    <w:p>
      <w:pPr>
        <w:spacing w:after="200" w:line="276"/>
      </w:pPr>
      <w:r>
        <w:t xml:space="preserve">If the viability test fails, NCFC does not deploy CTT and proceeds to an orderly wind-down and salvage path.</w:t>
      </w:r>
    </w:p>
    <w:p>
      <w:pPr>
        <w:pStyle w:val="Heading2"/>
      </w:pPr>
      <w:r>
        <w:t xml:space="preserve">9.5 CRF Funding Model</w:t>
      </w:r>
    </w:p>
    <w:p>
      <w:pPr>
        <w:spacing w:after="200" w:line="276"/>
      </w:pPr>
      <w:r>
        <w:t xml:space="preserve">CRF is capitalized through:</w:t>
      </w:r>
    </w:p>
    <w:p>
      <w:pPr>
        <w:pStyle w:val="ListParagraph"/>
        <w:numPr>
          <w:ilvl w:val="0"/>
          <w:numId w:val="2"/>
        </w:numPr>
        <w:spacing w:after="120" w:line="276"/>
      </w:pPr>
      <w:r>
        <w:t xml:space="preserve"/>
      </w:r>
      <w:r>
        <w:rPr>
          <w:b/>
          <w:bCs/>
        </w:rPr>
        <w:t xml:space="preserve">Mandatory project premiums:</w:t>
      </w:r>
      <w:r>
        <w:t xml:space="preserve"> 0.5–1.0% upfront of NCFC loan amount + 50–100 bps annually during construction. Tiered by risk profile: standardized NOAK fleets at the low end, less standard projects at the high end.</w:t>
      </w:r>
    </w:p>
    <w:p>
      <w:pPr>
        <w:pStyle w:val="ListParagraph"/>
        <w:numPr>
          <w:ilvl w:val="0"/>
          <w:numId w:val="2"/>
        </w:numPr>
        <w:spacing w:after="120" w:line="276"/>
      </w:pPr>
      <w:r>
        <w:t xml:space="preserve"/>
      </w:r>
      <w:r>
        <w:rPr>
          <w:b/>
          <w:bCs/>
        </w:rPr>
        <w:t xml:space="preserve">Federal seed capital:</w:t>
      </w:r>
      <w:r>
        <w:t xml:space="preserve"> Treasury provides an initial injection (e.g., $3–5B), treated as debt-like equity repayable over time from Reserve surpluses.</w:t>
      </w:r>
    </w:p>
    <w:p>
      <w:pPr>
        <w:pStyle w:val="ListParagraph"/>
        <w:numPr>
          <w:ilvl w:val="0"/>
          <w:numId w:val="2"/>
        </w:numPr>
        <w:spacing w:after="120" w:line="276"/>
      </w:pPr>
      <w:r>
        <w:t xml:space="preserve"/>
      </w:r>
      <w:r>
        <w:rPr>
          <w:b/>
          <w:bCs/>
        </w:rPr>
        <w:t xml:space="preserve">Reserve investment income:</w:t>
      </w:r>
      <w:r>
        <w:t xml:space="preserve"> Balances held in Treasuries/AAA assets, compounding over time.</w:t>
      </w:r>
    </w:p>
    <w:p>
      <w:pPr>
        <w:pStyle w:val="ListParagraph"/>
        <w:numPr>
          <w:ilvl w:val="0"/>
          <w:numId w:val="2"/>
        </w:numPr>
        <w:spacing w:after="120" w:line="276"/>
      </w:pPr>
      <w:r>
        <w:t xml:space="preserve"/>
      </w:r>
      <w:r>
        <w:rPr>
          <w:b/>
          <w:bCs/>
        </w:rPr>
        <w:t xml:space="preserve">CLT/CTT/CCC recoveries:</w:t>
      </w:r>
      <w:r>
        <w:t xml:space="preserve"> Penalty-rate CLT interest and CCC asset recoveries flow back to CRF.</w:t>
      </w:r>
    </w:p>
    <w:p>
      <w:pPr>
        <w:spacing w:after="200" w:line="276"/>
      </w:pPr>
      <w:r>
        <w:t xml:space="preserve">Target Reserve size: 2–5% of NCFC portfolio exposure. CRF premiums are alignment capital—the price of admission to NCFC’s sovereign completion platform—not actuarial insurance premiums designed to self-fund every conceivable tail. Nuclear cost overrun risk is not insurable through traditional pricing; the sovereign explicitly accepts deep-tail completion risk as a permanent structural commitment, not a temporary startup condition. In Black Swan scenarios, NCFC may require emergency equity top-ups. That residual risk is part of the sovereign mission. (See Section XV for the full doctrinal treatment.)</w:t>
      </w:r>
    </w:p>
    <w:p>
      <w:pPr>
        <w:pStyle w:val="Heading2"/>
      </w:pPr>
      <w:r>
        <w:t xml:space="preserve">9.6 Hard Tail Cap</w:t>
      </w:r>
    </w:p>
    <w:p>
      <w:pPr>
        <w:spacing w:after="200" w:line="276"/>
      </w:pPr>
      <w:r>
        <w:t xml:space="preserve">Capital providers need a credible cost ceiling. For NCFC-backed projects, this takes the form of a statutory or contractual maximum total cost multiple in the range of approximately 1.8–2.0× original budget, enforced structurally via the commercial loss waterfall, CLT, and CTT. This cap is necessary for rating agencies to rate NCBs, for institutional investors to treat nuclear construction debt as quantifiable risk, and for banks to originate construction loans knowing NCFC will prevent infinite-loss outcomes.</w:t>
      </w:r>
    </w:p>
    <w:p>
      <w:r>
        <w:br w:type="page"/>
      </w:r>
    </w:p>
    <w:p>
      <w:pPr>
        <w:pStyle w:val="Heading1"/>
      </w:pPr>
      <w:r>
        <w:t xml:space="preserve">X. Long-Term Refinancing Facility (LTRF)</w:t>
      </w:r>
    </w:p>
    <w:p>
      <w:pPr>
        <w:pBdr>
          <w:left w:val="single" w:color="2E5984" w:sz="12" w:space="8"/>
        </w:pBdr>
        <w:spacing w:after="200" w:line="276"/>
        <w:ind w:left="720" w:right="720"/>
      </w:pPr>
      <w:r>
        <w:rPr>
          <w:i/>
          <w:iCs/>
          <w:color w:val="2E5984"/>
        </w:rPr>
        <w:t xml:space="preserve">LTRF is not a subsidized long-term mortgage. It is not meant to be cheap in normal or good markets. It is not meant to be held for the full 10 years except in true tail events. LTRF is a sovereign emergency lane that closes naturally in normal traffic.</w:t>
      </w:r>
    </w:p>
    <w:p>
      <w:pPr>
        <w:pStyle w:val="Heading2"/>
      </w:pPr>
      <w:r>
        <w:t xml:space="preserve">10.1 Purpose</w:t>
      </w:r>
    </w:p>
    <w:p>
      <w:pPr>
        <w:spacing w:after="200" w:line="276"/>
      </w:pPr>
      <w:r>
        <w:t xml:space="preserve">LTRF exists to provide a predictable, standardized sovereign operating-phase bridge when financial markets are disrupted at COD. It prevents economically viable nuclear projects from being forced to refinance into stressed markets at the wrong moment. It solves the chicken-and-egg constraint: today, you need long-term revenue to finance construction, but offtakers want projects built first. With LTRF, NCFC guarantees an operating debt structure; revenue can finish maturing along the way.</w:t>
      </w:r>
    </w:p>
    <w:p>
      <w:pPr>
        <w:pStyle w:val="Heading2"/>
      </w:pPr>
      <w:r>
        <w:t xml:space="preserve">10.2 Eligibility and RSF Link</w:t>
      </w:r>
    </w:p>
    <w:p>
      <w:pPr>
        <w:spacing w:after="200" w:line="276"/>
      </w:pPr>
      <w:r>
        <w:t xml:space="preserve">Only projects financed under NCFC’s construction program are eligible for LTRF. There is no separate underwrite at COD; the sovereign credit decision was made at FID and reaffirmed at each milestone.</w:t>
      </w:r>
    </w:p>
    <w:p>
      <w:pPr>
        <w:spacing w:after="200" w:line="276"/>
      </w:pPr>
      <w:r>
        <w:t xml:space="preserve">The allowed size of the roll is governed by a </w:t>
      </w:r>
      <w:r>
        <w:rPr>
          <w:b/>
          <w:bCs/>
        </w:rPr>
        <w:t xml:space="preserve">continuation cap</w:t>
      </w:r>
      <w:r>
        <w:t xml:space="preserve">, determined ex ante using the Revenue Security Framework (RSF):</w:t>
      </w:r>
    </w:p>
    <w:p>
      <w:pPr>
        <w:pStyle w:val="ListParagraph"/>
        <w:numPr>
          <w:ilvl w:val="0"/>
          <w:numId w:val="2"/>
        </w:numPr>
        <w:spacing w:after="120" w:line="276"/>
      </w:pPr>
      <w:r>
        <w:t xml:space="preserve">At FID, NCFC applies RSF to the project’s SPV-level wholesale revenue stack (PPAs, CfDs, RA contracts, etc.).</w:t>
      </w:r>
    </w:p>
    <w:p>
      <w:pPr>
        <w:pStyle w:val="ListParagraph"/>
        <w:numPr>
          <w:ilvl w:val="0"/>
          <w:numId w:val="2"/>
        </w:numPr>
        <w:spacing w:after="120" w:line="276"/>
      </w:pPr>
      <w:r>
        <w:t xml:space="preserve">RSF maps that stack into a Revenue Security Score (RSS) between 0 and 1.</w:t>
      </w:r>
    </w:p>
    <w:p>
      <w:pPr>
        <w:pStyle w:val="ListParagraph"/>
        <w:numPr>
          <w:ilvl w:val="0"/>
          <w:numId w:val="2"/>
        </w:numPr>
        <w:spacing w:after="120" w:line="276"/>
      </w:pPr>
      <w:r>
        <w:t xml:space="preserve">RSS is translated into a banded continuation cap: very strong RSS → up to ~80% of NCFC principal at COD can roll; weaker but acceptable RSS → cap in the ~40–60% range; below a floor RSS → LTRF ineligible.</w:t>
      </w:r>
    </w:p>
    <w:p>
      <w:pPr>
        <w:pBdr>
          <w:left w:val="single" w:color="2E5984" w:sz="12" w:space="8"/>
        </w:pBdr>
        <w:spacing w:after="200" w:line="276"/>
        <w:ind w:left="720" w:right="720"/>
      </w:pPr>
      <w:r>
        <w:rPr>
          <w:i/>
          <w:iCs/>
          <w:color w:val="2E5984"/>
        </w:rPr>
        <w:t xml:space="preserve">Critical design resolution: RSS determines the LTRF continuation cap (a quantity lever). It does not set LTRF pricing or CRF premiums. Earlier working documents showed RSS affecting both price and quantity; the authoritative design deliberately limits RSS to quantity only, to keep incentives clean and avoid cross-subsidization.</w:t>
      </w:r>
    </w:p>
    <w:p>
      <w:pPr>
        <w:spacing w:after="200" w:line="276"/>
      </w:pPr>
      <w:r>
        <w:t xml:space="preserve">Sponsors can request one mid-construction recalibration if they substantially improve their contracted stack; otherwise the cap is locked. At COD, the sponsor chooses any roll amount between 0 and the cap. The choice is one-way: once they refinance NCFC out of a slice, they cannot re-enter LTRF later.</w:t>
      </w:r>
    </w:p>
    <w:p>
      <w:pPr>
        <w:pStyle w:val="Heading2"/>
      </w:pPr>
      <w:r>
        <w:t xml:space="preserve">10.3 LTRF Instrument Design</w:t>
      </w:r>
    </w:p>
    <w:p>
      <w:pPr>
        <w:spacing w:after="200" w:line="276"/>
      </w:pPr>
      <w:r>
        <w:t xml:space="preserve">The LTRF Note is simply the NCFC Construction Note transitioning from construction terms to operating terms—no new loan, no reissuance:</w:t>
      </w:r>
    </w:p>
    <w:p>
      <w:pPr>
        <w:pStyle w:val="ListParagraph"/>
        <w:numPr>
          <w:ilvl w:val="0"/>
          <w:numId w:val="2"/>
        </w:numPr>
        <w:spacing w:after="120" w:line="276"/>
      </w:pPr>
      <w:r>
        <w:t xml:space="preserve"/>
      </w:r>
      <w:r>
        <w:rPr>
          <w:b/>
          <w:bCs/>
        </w:rPr>
        <w:t xml:space="preserve">Principal:</w:t>
      </w:r>
      <w:r>
        <w:t xml:space="preserve"> Bullet; no amortization.</w:t>
      </w:r>
    </w:p>
    <w:p>
      <w:pPr>
        <w:pStyle w:val="ListParagraph"/>
        <w:numPr>
          <w:ilvl w:val="0"/>
          <w:numId w:val="2"/>
        </w:numPr>
        <w:spacing w:after="120" w:line="276"/>
      </w:pPr>
      <w:r>
        <w:t xml:space="preserve"/>
      </w:r>
      <w:r>
        <w:rPr>
          <w:b/>
          <w:bCs/>
        </w:rPr>
        <w:t xml:space="preserve">Cash interest:</w:t>
      </w:r>
      <w:r>
        <w:t xml:space="preserve"> Begins at COD (construction was PIK).</w:t>
      </w:r>
    </w:p>
    <w:p>
      <w:pPr>
        <w:pStyle w:val="ListParagraph"/>
        <w:numPr>
          <w:ilvl w:val="0"/>
          <w:numId w:val="2"/>
        </w:numPr>
        <w:spacing w:after="120" w:line="276"/>
      </w:pPr>
      <w:r>
        <w:t xml:space="preserve"/>
      </w:r>
      <w:r>
        <w:rPr>
          <w:b/>
          <w:bCs/>
        </w:rPr>
        <w:t xml:space="preserve">Security:</w:t>
      </w:r>
      <w:r>
        <w:t xml:space="preserve"> First-lien senior secured on the NPP, same as construction.</w:t>
      </w:r>
    </w:p>
    <w:p>
      <w:pPr>
        <w:pStyle w:val="ListParagraph"/>
        <w:numPr>
          <w:ilvl w:val="0"/>
          <w:numId w:val="2"/>
        </w:numPr>
        <w:spacing w:after="120" w:line="276"/>
      </w:pPr>
      <w:r>
        <w:t xml:space="preserve"/>
      </w:r>
      <w:r>
        <w:rPr>
          <w:b/>
          <w:bCs/>
        </w:rPr>
        <w:t xml:space="preserve">Maximum life:</w:t>
      </w:r>
      <w:r>
        <w:t xml:space="preserve"> 10 years post-COD.</w:t>
      </w:r>
    </w:p>
    <w:p>
      <w:pPr>
        <w:pStyle w:val="ListParagraph"/>
        <w:numPr>
          <w:ilvl w:val="0"/>
          <w:numId w:val="2"/>
        </w:numPr>
        <w:spacing w:after="120" w:line="276"/>
      </w:pPr>
      <w:r>
        <w:t xml:space="preserve"/>
      </w:r>
      <w:r>
        <w:rPr>
          <w:b/>
          <w:bCs/>
        </w:rPr>
        <w:t xml:space="preserve">Base rate:</w:t>
      </w:r>
      <w:r>
        <w:t xml:space="preserve"> 5-year Treasury at the applicable reset date.</w:t>
      </w:r>
    </w:p>
    <w:p>
      <w:pPr>
        <w:pStyle w:val="ListParagraph"/>
        <w:numPr>
          <w:ilvl w:val="0"/>
          <w:numId w:val="2"/>
        </w:numPr>
        <w:spacing w:after="120" w:line="276"/>
      </w:pPr>
      <w:r>
        <w:t xml:space="preserve"/>
      </w:r>
      <w:r>
        <w:rPr>
          <w:b/>
          <w:bCs/>
        </w:rPr>
        <w:t xml:space="preserve">Initial spread (s₀):</w:t>
      </w:r>
      <w:r>
        <w:t xml:space="preserve"> Tuned to long-run average BBB utility spreads (~150–200 bps). Locked for 24 months.</w:t>
      </w:r>
    </w:p>
    <w:p>
      <w:pPr>
        <w:pStyle w:val="ListParagraph"/>
        <w:numPr>
          <w:ilvl w:val="0"/>
          <w:numId w:val="2"/>
        </w:numPr>
        <w:spacing w:after="120" w:line="276"/>
      </w:pPr>
      <w:r>
        <w:t xml:space="preserve"/>
      </w:r>
      <w:r>
        <w:rPr>
          <w:b/>
          <w:bCs/>
        </w:rPr>
        <w:t xml:space="preserve">Step-up mechanism:</w:t>
      </w:r>
      <w:r>
        <w:t xml:space="preserve"> After the initial 24-month lock, coupon ratchets up +25–37.5 bps each year. Each ratchet triggers a new 12-month no-refi lock. Continues until sponsor refinances or 10 years pass.</w:t>
      </w:r>
    </w:p>
    <w:p>
      <w:pPr>
        <w:pStyle w:val="Heading2"/>
      </w:pPr>
      <w:r>
        <w:t xml:space="preserve">10.4 Behavioral Economics of LTRF</w:t>
      </w:r>
    </w:p>
    <w:p>
      <w:pPr>
        <w:spacing w:after="200" w:line="276"/>
      </w:pPr>
      <w:r>
        <w:t xml:space="preserve">The pricing and lock regime creates three distinct behavioral zones:</w:t>
      </w:r>
    </w:p>
    <w:p>
      <w:pPr>
        <w:pStyle w:val="Heading3"/>
      </w:pPr>
      <w:r>
        <w:t xml:space="preserve">Zone A: Good Markets</w:t>
      </w:r>
    </w:p>
    <w:p>
      <w:pPr>
        <w:spacing w:after="200" w:line="276"/>
      </w:pPr>
      <w:r>
        <w:t xml:space="preserve">BBB utilities can issue term debt at aggressively tight spreads. LTRF is materially more expensive. Rational behavior: refinance immediately at COD or use LTRF only for the first 2-year convenience window.</w:t>
      </w:r>
    </w:p>
    <w:p>
      <w:pPr>
        <w:pStyle w:val="Heading3"/>
      </w:pPr>
      <w:r>
        <w:t xml:space="preserve">Zone B: Normal Markets</w:t>
      </w:r>
    </w:p>
    <w:p>
      <w:pPr>
        <w:spacing w:after="200" w:line="276"/>
      </w:pPr>
      <w:r>
        <w:t xml:space="preserve">BBB utility spreads roughly at long-run average. LTRF at COD is approximately fair value, but convenience premium and no IB fees make 0–2 years rational. Once the first ratchet hits, LTRF is decisively more expensive. Rational behavior: refi at first available reset window (2–3 years post-COD).</w:t>
      </w:r>
    </w:p>
    <w:p>
      <w:pPr>
        <w:pStyle w:val="Heading3"/>
      </w:pPr>
      <w:r>
        <w:t xml:space="preserve">Zone C: Stressed Markets</w:t>
      </w:r>
    </w:p>
    <w:p>
      <w:pPr>
        <w:spacing w:after="200" w:line="276"/>
      </w:pPr>
      <w:r>
        <w:t xml:space="preserve">This is the raison d’être. Market spreads widen +150–200 bps above average. Even after 1–2 ratchets, LTRF remains cheaper than issuing in distressed markets. Developers stay in LTRF longer (3–7+ years). Once markets normalize, they refi at next reset.</w:t>
      </w:r>
    </w:p>
    <w:p>
      <w:pPr>
        <w:pStyle w:val="Heading2"/>
      </w:pPr>
      <w:r>
        <w:t xml:space="preserve">10.5 Subordination as Incentive</w:t>
      </w:r>
    </w:p>
    <w:p>
      <w:pPr>
        <w:spacing w:after="200" w:line="276"/>
      </w:pPr>
      <w:r>
        <w:t xml:space="preserve">Because LTRF remains senior, secured, first-lien—as long as it is outstanding, private lenders cannot take true senior secured positions. Any new debt must be junior or unsecured. LTRF therefore blocks the developer from forming a normal capital structure until they refinance NCFC out. This structural seniority, combined with ratchets, forces developers off LTRF in normal/good markets even without explicit penalties.</w:t>
      </w:r>
    </w:p>
    <w:p>
      <w:r>
        <w:br w:type="page"/>
      </w:r>
    </w:p>
    <w:p>
      <w:pPr>
        <w:pStyle w:val="Heading1"/>
      </w:pPr>
      <w:r>
        <w:t xml:space="preserve">XI. Revenue Security Framework (RSF)</w:t>
      </w:r>
    </w:p>
    <w:p>
      <w:pPr>
        <w:spacing w:after="200" w:line="276"/>
      </w:pPr>
      <w:r>
        <w:t xml:space="preserve">RSF is the tool NCFC uses to assess how much operating-phase exposure can sensibly roll into LTRF. It evaluates the contractual revenue stack of the project SPV over the LTRF horizon: long-term PPAs, cost-of-service PPAs approved by a state PUC, CfDs, RA/capacity contracts, tolling agreements, and other contracted instruments. It does not rely on discretionary future retail ratemaking as collateral.</w:t>
      </w:r>
    </w:p>
    <w:p>
      <w:pPr>
        <w:pStyle w:val="Heading2"/>
      </w:pPr>
      <w:r>
        <w:t xml:space="preserve">11.1 Revenue Instrument Tiers</w:t>
      </w:r>
    </w:p>
    <w:p>
      <w:pPr>
        <w:spacing w:after="200" w:line="276"/>
      </w:pPr>
      <w:r>
        <w:t xml:space="preserve"/>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1000"/>
        <w:gridCol w:w="2500"/>
        <w:gridCol w:w="3360"/>
        <w:gridCol w:w="1500"/>
      </w:tblGrid>
      <w:tr>
        <w:tc>
          <w:tcPr>
            <w:tcW w:type="dxa" w:w="100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Tier</w:t>
            </w:r>
          </w:p>
        </w:tc>
        <w:tc>
          <w:tcPr>
            <w:tcW w:type="dxa" w:w="250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Description</w:t>
            </w:r>
          </w:p>
        </w:tc>
        <w:tc>
          <w:tcPr>
            <w:tcW w:type="dxa" w:w="336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Examples</w:t>
            </w:r>
          </w:p>
        </w:tc>
        <w:tc>
          <w:tcPr>
            <w:tcW w:type="dxa" w:w="150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RSS Weight</w:t>
            </w:r>
          </w:p>
        </w:tc>
      </w:tr>
      <w:tr>
        <w:tc>
          <w:tcPr>
            <w:tcW w:type="dxa" w:w="10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1</w:t>
            </w:r>
          </w:p>
        </w:tc>
        <w:tc>
          <w:tcPr>
            <w:tcW w:type="dxa" w:w="25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Sovereign / Quasi-Sovereign</w:t>
            </w:r>
          </w:p>
        </w:tc>
        <w:tc>
          <w:tcPr>
            <w:tcW w:type="dxa" w:w="336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PMA/TVA; federal PPAs; state CfDs</w:t>
            </w:r>
          </w:p>
        </w:tc>
        <w:tc>
          <w:tcPr>
            <w:tcW w:type="dxa" w:w="15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4.0×</w:t>
            </w:r>
          </w:p>
        </w:tc>
      </w:tr>
      <w:tr>
        <w:tc>
          <w:tcPr>
            <w:tcW w:type="dxa" w:w="100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2A</w:t>
            </w:r>
          </w:p>
        </w:tc>
        <w:tc>
          <w:tcPr>
            <w:tcW w:type="dxa" w:w="250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Dynamic Overrun-Sharing PPAs</w:t>
            </w:r>
          </w:p>
        </w:tc>
        <w:tc>
          <w:tcPr>
            <w:tcW w:type="dxa" w:w="336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IG hyperscaler PPAs with escalation bands</w:t>
            </w:r>
          </w:p>
        </w:tc>
        <w:tc>
          <w:tcPr>
            <w:tcW w:type="dxa" w:w="150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3.5×</w:t>
            </w:r>
          </w:p>
        </w:tc>
      </w:tr>
      <w:tr>
        <w:tc>
          <w:tcPr>
            <w:tcW w:type="dxa" w:w="10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2B</w:t>
            </w:r>
          </w:p>
        </w:tc>
        <w:tc>
          <w:tcPr>
            <w:tcW w:type="dxa" w:w="25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Long-Term IG PPAs</w:t>
            </w:r>
          </w:p>
        </w:tc>
        <w:tc>
          <w:tcPr>
            <w:tcW w:type="dxa" w:w="336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15–30 yr utility/corporate PPAs</w:t>
            </w:r>
          </w:p>
        </w:tc>
        <w:tc>
          <w:tcPr>
            <w:tcW w:type="dxa" w:w="15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3.0×</w:t>
            </w:r>
          </w:p>
        </w:tc>
      </w:tr>
      <w:tr>
        <w:tc>
          <w:tcPr>
            <w:tcW w:type="dxa" w:w="100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3</w:t>
            </w:r>
          </w:p>
        </w:tc>
        <w:tc>
          <w:tcPr>
            <w:tcW w:type="dxa" w:w="250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Shorter / Mid-Grade PPAs</w:t>
            </w:r>
          </w:p>
        </w:tc>
        <w:tc>
          <w:tcPr>
            <w:tcW w:type="dxa" w:w="336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5–10 yr corporate PPAs; tolling</w:t>
            </w:r>
          </w:p>
        </w:tc>
        <w:tc>
          <w:tcPr>
            <w:tcW w:type="dxa" w:w="150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2.0×</w:t>
            </w:r>
          </w:p>
        </w:tc>
      </w:tr>
      <w:tr>
        <w:tc>
          <w:tcPr>
            <w:tcW w:type="dxa" w:w="10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4</w:t>
            </w:r>
          </w:p>
        </w:tc>
        <w:tc>
          <w:tcPr>
            <w:tcW w:type="dxa" w:w="25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Merchant Revenue</w:t>
            </w:r>
          </w:p>
        </w:tc>
        <w:tc>
          <w:tcPr>
            <w:tcW w:type="dxa" w:w="336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Uncontracted/spot nuclear output</w:t>
            </w:r>
          </w:p>
        </w:tc>
        <w:tc>
          <w:tcPr>
            <w:tcW w:type="dxa" w:w="15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1.0×</w:t>
            </w:r>
          </w:p>
        </w:tc>
      </w:tr>
    </w:tbl>
    <w:p>
      <w:pPr>
        <w:pStyle w:val="Heading2"/>
      </w:pPr>
      <w:r>
        <w:t xml:space="preserve">11.2 RSS Calculation</w:t>
      </w:r>
    </w:p>
    <w:p>
      <w:pPr>
        <w:spacing w:after="200" w:line="276"/>
      </w:pPr>
      <w:r>
        <w:t xml:space="preserve">For each revenue instrument i, let Rᵢ be the share of expected project revenues covered, wᵢ the tier weight, and Tᵢ a tenor adjustment (1.0 for ≥20 years; 0.75 for 10–20 years; 0.5 for &lt;10 years). The Revenue Security Score is:</w:t>
      </w:r>
    </w:p>
    <w:p>
      <w:pPr>
        <w:spacing w:after="200" w:line="276"/>
        <w:ind w:left="720"/>
      </w:pPr>
      <w:r>
        <w:t xml:space="preserve">RSS = Σ(Rᵢ × wᵢ × Tᵢ)</w:t>
      </w:r>
    </w:p>
    <w:p>
      <w:pPr>
        <w:spacing w:after="200" w:line="276"/>
      </w:pPr>
      <w:r>
        <w:t xml:space="preserve">NCFC normalizes and bands this raw score for internal use. The output is a </w:t>
      </w:r>
      <w:r>
        <w:rPr>
          <w:b/>
          <w:bCs/>
        </w:rPr>
        <w:t xml:space="preserve">continuation cap</w:t>
      </w:r>
      <w:r>
        <w:t xml:space="preserve"> for LTRF—the maximum senior exposure NCFC will carry into the operating-phase bridge.</w:t>
      </w:r>
    </w:p>
    <w:p>
      <w:pPr>
        <w:pStyle w:val="Heading2"/>
      </w:pPr>
      <w:r>
        <w:t xml:space="preserve">11.3 Authoritative Scope of RSS</w:t>
      </w:r>
    </w:p>
    <w:p>
      <w:pPr>
        <w:pBdr>
          <w:left w:val="single" w:color="2E5984" w:sz="12" w:space="8"/>
        </w:pBdr>
        <w:spacing w:after="200" w:line="276"/>
        <w:ind w:left="720" w:right="720"/>
      </w:pPr>
      <w:r>
        <w:rPr>
          <w:i/>
          <w:iCs/>
          <w:color w:val="2E5984"/>
        </w:rPr>
        <w:t xml:space="preserve">RSS determines the LTRF continuation cap only. It is a quantity lever, not a price lever. RSS does not affect LTRF pricing (which follows a fixed formula of base rate + spread + annual step-ups) and does not affect CRF premiums (which are set by project risk class and portfolio considerations). This design keeps incentives clean: stronger revenue gets you more access to sovereign continuation capacity, not cheaper terms that could cross-subsidize weaker structures.</w:t>
      </w:r>
    </w:p>
    <w:p>
      <w:pPr>
        <w:pStyle w:val="Heading2"/>
      </w:pPr>
      <w:r>
        <w:t xml:space="preserve">11.4 Anti-Gaming Protections</w:t>
      </w:r>
    </w:p>
    <w:p>
      <w:pPr>
        <w:spacing w:after="200" w:line="276"/>
      </w:pPr>
      <w:r>
        <w:t xml:space="preserve">Only contracts meeting minimum thresholds (credit, tenor, take-or-pay, termination protections) qualify for Tier 1–3 weighting. All instruments undergo independent credit assessment. Short, weak PPAs cannot be stacked to mimic long-term certainty—tenor adjustments prevent that. Dynamic PPAs must have real escalation capacity and clear cost-linkage to qualify as Tier 2A. NCFC retains discretion to reclassify or exclude instruments that do not materially reduce risk.</w:t>
      </w:r>
    </w:p>
    <w:p>
      <w:r>
        <w:br w:type="page"/>
      </w:r>
    </w:p>
    <w:p>
      <w:pPr>
        <w:pStyle w:val="Heading1"/>
      </w:pPr>
      <w:r>
        <w:t xml:space="preserve">XII. Securitization Spine: Master Trust and NCBs</w:t>
      </w:r>
    </w:p>
    <w:p>
      <w:pPr>
        <w:pStyle w:val="Heading2"/>
      </w:pPr>
      <w:r>
        <w:t xml:space="preserve">12.1 Master Trust Architecture</w:t>
      </w:r>
    </w:p>
    <w:p>
      <w:pPr>
        <w:spacing w:after="200" w:line="276"/>
      </w:pPr>
      <w:r>
        <w:t xml:space="preserve">NCFC aggregates its standardized Construction Notes and LTRF Notes into a single, bankruptcy-remote Master Trust. NCFC sells or contributes eligible senior exposures to the trust in exchange for cash and a residual certificate. The trust issues multiple NCB Series over time, each with its own maturity and tranche split, but all backed by the same common pool. Principal and interest from all loans are commingled and allocated across series by a standard master-trust waterfall.</w:t>
      </w:r>
    </w:p>
    <w:p>
      <w:pPr>
        <w:spacing w:after="200" w:line="276"/>
      </w:pPr>
      <w:r>
        <w:t xml:space="preserve">Eligible assets include only senior NCFC exposures to NOAK project SPVs with wholesale revenue structures, documented under standardized templates. No FOAK, idiosyncratic, or retail rate-base exposures enter the pool.</w:t>
      </w:r>
    </w:p>
    <w:p>
      <w:pPr>
        <w:pStyle w:val="Heading2"/>
      </w:pPr>
      <w:r>
        <w:t xml:space="preserve">12.2 Capital Stack and Federal Guarantee</w:t>
      </w:r>
    </w:p>
    <w:p>
      <w:pPr>
        <w:spacing w:after="200" w:line="276"/>
      </w:pPr>
      <w:r>
        <w:t xml:space="preserve">Each NCB Series is structured with:</w:t>
      </w:r>
    </w:p>
    <w:p>
      <w:pPr>
        <w:pStyle w:val="ListParagraph"/>
        <w:numPr>
          <w:ilvl w:val="0"/>
          <w:numId w:val="2"/>
        </w:numPr>
        <w:spacing w:after="120" w:line="276"/>
      </w:pPr>
      <w:r>
        <w:t xml:space="preserve"/>
      </w:r>
      <w:r>
        <w:rPr>
          <w:b/>
          <w:bCs/>
        </w:rPr>
        <w:t xml:space="preserve">Class A Senior NCBs (~80% of notional):</w:t>
      </w:r>
      <w:r>
        <w:t xml:space="preserve"> Fixed-rate, explicitly guaranteed by the U.S. (full faith and credit) for timely interest and ultimate principal. Funded via FFB and/or public issuance.</w:t>
      </w:r>
    </w:p>
    <w:p>
      <w:pPr>
        <w:pStyle w:val="ListParagraph"/>
        <w:numPr>
          <w:ilvl w:val="0"/>
          <w:numId w:val="2"/>
        </w:numPr>
        <w:spacing w:after="120" w:line="276"/>
      </w:pPr>
      <w:r>
        <w:t xml:space="preserve"/>
      </w:r>
      <w:r>
        <w:rPr>
          <w:b/>
          <w:bCs/>
        </w:rPr>
        <w:t xml:space="preserve">Class B Mezzanine NCBs (~15%):</w:t>
      </w:r>
      <w:r>
        <w:t xml:space="preserve"> Fixed-rate, unguaranteed, rated and priced on pool risk, CRF capital, and NCFC residual.</w:t>
      </w:r>
    </w:p>
    <w:p>
      <w:pPr>
        <w:pStyle w:val="ListParagraph"/>
        <w:numPr>
          <w:ilvl w:val="0"/>
          <w:numId w:val="2"/>
        </w:numPr>
        <w:spacing w:after="120" w:line="276"/>
      </w:pPr>
      <w:r>
        <w:t xml:space="preserve"/>
      </w:r>
      <w:r>
        <w:rPr>
          <w:b/>
          <w:bCs/>
        </w:rPr>
        <w:t xml:space="preserve">NCFC/CRF Residual (~5%):</w:t>
      </w:r>
      <w:r>
        <w:t xml:space="preserve"> Retained first-loss interest in the trust.</w:t>
      </w:r>
    </w:p>
    <w:p>
      <w:pPr>
        <w:pStyle w:val="Heading2"/>
      </w:pPr>
      <w:r>
        <w:t xml:space="preserve">12.3 Loss Waterfall</w:t>
      </w:r>
    </w:p>
    <w:p>
      <w:pPr>
        <w:pStyle w:val="ListParagraph"/>
        <w:numPr>
          <w:ilvl w:val="0"/>
          <w:numId w:val="3"/>
        </w:numPr>
        <w:spacing w:after="120" w:line="276"/>
      </w:pPr>
      <w:r>
        <w:t xml:space="preserve">Project-level equity and subordinated debt (including CLT) are wiped/written before any trust impact.</w:t>
      </w:r>
    </w:p>
    <w:p>
      <w:pPr>
        <w:pStyle w:val="ListParagraph"/>
        <w:numPr>
          <w:ilvl w:val="0"/>
          <w:numId w:val="3"/>
        </w:numPr>
        <w:spacing w:after="120" w:line="276"/>
      </w:pPr>
      <w:r>
        <w:t xml:space="preserve">Residual capital absorbs pool-level losses first.</w:t>
      </w:r>
    </w:p>
    <w:p>
      <w:pPr>
        <w:pStyle w:val="ListParagraph"/>
        <w:numPr>
          <w:ilvl w:val="0"/>
          <w:numId w:val="3"/>
        </w:numPr>
        <w:spacing w:after="120" w:line="276"/>
      </w:pPr>
      <w:r>
        <w:t xml:space="preserve">Losses then hit mezzanine pro-rata across all outstanding Class B series.</w:t>
      </w:r>
    </w:p>
    <w:p>
      <w:pPr>
        <w:pStyle w:val="ListParagraph"/>
        <w:numPr>
          <w:ilvl w:val="0"/>
          <w:numId w:val="3"/>
        </w:numPr>
        <w:spacing w:after="120" w:line="276"/>
      </w:pPr>
      <w:r>
        <w:t xml:space="preserve">Only when both are exhausted would Class A cashflows be impaired, at which point the federal guarantee makes Class A whole and the sovereign takes the shortfall.</w:t>
      </w:r>
    </w:p>
    <w:p>
      <w:pPr>
        <w:spacing w:after="200" w:line="276"/>
      </w:pPr>
      <w:r>
        <w:t xml:space="preserve">For senior investors, Class A is economically a U.S. guaranteed instrument with duration and prepayment risk. For credit investors, Class B is the levered play on nuclear construction and early-operation risk, tempered by diversification and CRF.</w:t>
      </w:r>
    </w:p>
    <w:p>
      <w:pPr>
        <w:pStyle w:val="Heading2"/>
      </w:pPr>
      <w:r>
        <w:t xml:space="preserve">12.4 LTRF’s Role in the Trust</w:t>
      </w:r>
    </w:p>
    <w:p>
      <w:pPr>
        <w:spacing w:after="200" w:line="276"/>
      </w:pPr>
      <w:r>
        <w:t xml:space="preserve">LTRF converts construction PIK loans into cash-paying, bullet senior secured operating loans inside the master trust. Excess interest from step-ups flows first to pay fixed senior NCB coupons, then into mezzanine coverage and CRF/NCFC equity. LTRF step-ups benefit mezzanine and NCFC, not senior bondholders, increasing demand for mezzanine tranches and lowering sovereign exposure over time.</w:t>
      </w:r>
    </w:p>
    <w:p>
      <w:pPr>
        <w:pStyle w:val="Heading2"/>
      </w:pPr>
      <w:r>
        <w:t xml:space="preserve">12.5 Early-Years Liquidity</w:t>
      </w:r>
    </w:p>
    <w:p>
      <w:pPr>
        <w:spacing w:after="200" w:line="276"/>
      </w:pPr>
      <w:r>
        <w:t xml:space="preserve">In early years, the pool is almost entirely PIK Construction Notes with little natural interest income. NCFC funds most take-outs with equity and FFB borrowing, uses an explicit capitalized-interest / liquidity facility to pay coupons on early NCB issues, and treats initial issuance as pilot transactions. As more projects reach mid-construction and some roll into LTRF or private refi, the pool develops a balanced mix of PIK and cash-pay assets, and the master trust becomes the primary funding mechanism.</w:t>
      </w:r>
    </w:p>
    <w:p>
      <w:r>
        <w:br w:type="page"/>
      </w:r>
    </w:p>
    <w:p>
      <w:pPr>
        <w:pStyle w:val="Heading1"/>
      </w:pPr>
      <w:r>
        <w:t xml:space="preserve">XIII. Governance, CCC, and Institutional Duality</w:t>
      </w:r>
    </w:p>
    <w:p>
      <w:pPr>
        <w:pStyle w:val="Heading2"/>
      </w:pPr>
      <w:r>
        <w:t xml:space="preserve">13.1 Board and Committees</w:t>
      </w:r>
    </w:p>
    <w:p>
      <w:pPr>
        <w:spacing w:after="200" w:line="276"/>
      </w:pPr>
      <w:r>
        <w:t xml:space="preserve">NCFC’s governance balances independence of credit and risk management from political pressure with alignment to the sovereign’s nuclear strategy as set by NDC:</w:t>
      </w:r>
    </w:p>
    <w:p>
      <w:pPr>
        <w:pStyle w:val="ListParagraph"/>
        <w:numPr>
          <w:ilvl w:val="0"/>
          <w:numId w:val="2"/>
        </w:numPr>
        <w:spacing w:after="120" w:line="276"/>
      </w:pPr>
      <w:r>
        <w:t xml:space="preserve">A 5–7 member Board with staggered 5-year terms: structured credit/infrastructure expertise, nuclear operations, public-finance, and one ex-officio federal seat (e.g., Treasury/Commerce).</w:t>
      </w:r>
    </w:p>
    <w:p>
      <w:pPr>
        <w:pStyle w:val="ListParagraph"/>
        <w:numPr>
          <w:ilvl w:val="0"/>
          <w:numId w:val="2"/>
        </w:numPr>
        <w:spacing w:after="120" w:line="276"/>
      </w:pPr>
      <w:r>
        <w:t xml:space="preserve">Fiduciary duty is to NCFC as a financial institution, not to regions, vendors, or specific projects.</w:t>
      </w:r>
    </w:p>
    <w:p>
      <w:pPr>
        <w:spacing w:after="200" w:line="276"/>
      </w:pPr>
      <w:r>
        <w:t xml:space="preserve">Core committees:</w:t>
      </w:r>
    </w:p>
    <w:p>
      <w:pPr>
        <w:pStyle w:val="ListParagraph"/>
        <w:numPr>
          <w:ilvl w:val="0"/>
          <w:numId w:val="2"/>
        </w:numPr>
        <w:spacing w:after="120" w:line="276"/>
      </w:pPr>
      <w:r>
        <w:t xml:space="preserve"/>
      </w:r>
      <w:r>
        <w:rPr>
          <w:b/>
          <w:bCs/>
        </w:rPr>
        <w:t xml:space="preserve">Eligibility &amp; Standards Committee:</w:t>
      </w:r>
      <w:r>
        <w:t xml:space="preserve"> Applies NDC NOAK and milestone standards; confirms structural eligibility (SPV, wholesale revenues); administers RSF and continuation caps.</w:t>
      </w:r>
    </w:p>
    <w:p>
      <w:pPr>
        <w:pStyle w:val="ListParagraph"/>
        <w:numPr>
          <w:ilvl w:val="0"/>
          <w:numId w:val="2"/>
        </w:numPr>
        <w:spacing w:after="120" w:line="276"/>
      </w:pPr>
      <w:r>
        <w:t xml:space="preserve"/>
      </w:r>
      <w:r>
        <w:rPr>
          <w:b/>
          <w:bCs/>
        </w:rPr>
        <w:t xml:space="preserve">Credit &amp; Risk Committee:</w:t>
      </w:r>
      <w:r>
        <w:t xml:space="preserve"> Approves take-outs, LTRF rolls, risk limits; decides on covenant breaches and CCC recommendations.</w:t>
      </w:r>
    </w:p>
    <w:p>
      <w:pPr>
        <w:pStyle w:val="ListParagraph"/>
        <w:numPr>
          <w:ilvl w:val="0"/>
          <w:numId w:val="2"/>
        </w:numPr>
        <w:spacing w:after="120" w:line="276"/>
      </w:pPr>
      <w:r>
        <w:t xml:space="preserve"/>
      </w:r>
      <w:r>
        <w:rPr>
          <w:b/>
          <w:bCs/>
        </w:rPr>
        <w:t xml:space="preserve">CRF Management Committee:</w:t>
      </w:r>
      <w:r>
        <w:t xml:space="preserve"> Sets CRF premiums, manages CLT/CTT, monitors tail exposure, coordinates with CCC unit.</w:t>
      </w:r>
    </w:p>
    <w:p>
      <w:pPr>
        <w:pStyle w:val="ListParagraph"/>
        <w:numPr>
          <w:ilvl w:val="0"/>
          <w:numId w:val="2"/>
        </w:numPr>
        <w:spacing w:after="120" w:line="276"/>
      </w:pPr>
      <w:r>
        <w:t xml:space="preserve"/>
      </w:r>
      <w:r>
        <w:rPr>
          <w:b/>
          <w:bCs/>
        </w:rPr>
        <w:t xml:space="preserve">Conservatorship and Special Workouts Unit:</w:t>
      </w:r>
      <w:r>
        <w:t xml:space="preserve"> Executes CCC interventions, restructurings, recapitalizations, and asset transfers at the SPV level.</w:t>
      </w:r>
    </w:p>
    <w:p>
      <w:pPr>
        <w:pStyle w:val="Heading2"/>
      </w:pPr>
      <w:r>
        <w:t xml:space="preserve">13.2 NDC–NCFC–LPO Division of Labor</w:t>
      </w:r>
    </w:p>
    <w:p>
      <w:pPr>
        <w:spacing w:after="200" w:line="276"/>
      </w:pPr>
      <w:r>
        <w:t xml:space="preserve">The institutional duality is hard-wired:</w:t>
      </w:r>
    </w:p>
    <w:p>
      <w:pPr>
        <w:spacing w:after="200" w:line="276"/>
      </w:pPr>
      <w:r>
        <w:t xml:space="preserve"/>
      </w:r>
      <w:r>
        <w:rPr>
          <w:b/>
          <w:bCs/>
        </w:rPr>
        <w:t xml:space="preserve">NDC</w:t>
      </w:r>
      <w:r>
        <w:t xml:space="preserve"> sets NOAK list, standardization packages, milestone frameworks, and sequencing. Defines SPV + wholesale architecture at a policy level. Quantifies economic cost of regulatory changes and uses NCFC data to inform strategy. Does not sit on NCFC’s board or committees.</w:t>
      </w:r>
    </w:p>
    <w:p>
      <w:pPr>
        <w:spacing w:after="200" w:line="276"/>
      </w:pPr>
      <w:r>
        <w:t xml:space="preserve"/>
      </w:r>
      <w:r>
        <w:rPr>
          <w:b/>
          <w:bCs/>
        </w:rPr>
        <w:t xml:space="preserve">NCFC</w:t>
      </w:r>
      <w:r>
        <w:t xml:space="preserve"> applies NDC standards to individual deals. Runs credit, CRF, LTRF, NCB, and CCC within its mandate. Supplies aggregated data (costs, overruns, CLT/CTT usage, RSF distributions) back to NDC. Does not set NOAK definitions, pick technologies, or engage regulators directly.</w:t>
      </w:r>
    </w:p>
    <w:p>
      <w:pPr>
        <w:spacing w:after="200" w:line="276"/>
      </w:pPr>
      <w:r>
        <w:t xml:space="preserve"/>
      </w:r>
      <w:r>
        <w:rPr>
          <w:b/>
          <w:bCs/>
        </w:rPr>
        <w:t xml:space="preserve">LPO</w:t>
      </w:r>
      <w:r>
        <w:t xml:space="preserve"> finances FOAK and frontier projects. Provides the White House with a discretionary tool for political/strategic one-offs outside NCFC’s rigid criteria. May adjust its own practices but does not replicate NCFC’s pooled securitization structure.</w:t>
      </w:r>
    </w:p>
    <w:p>
      <w:pPr>
        <w:spacing w:after="200" w:line="276"/>
      </w:pPr>
      <w:r>
        <w:t xml:space="preserve">No interlocking boards. Coordination is through defined liaison roles and data flows, not shared decision rights.</w:t>
      </w:r>
    </w:p>
    <w:p>
      <w:pPr>
        <w:pStyle w:val="Heading2"/>
      </w:pPr>
      <w:r>
        <w:t xml:space="preserve">13.3 NDC Contingency Provisions</w:t>
      </w:r>
    </w:p>
    <w:p>
      <w:pPr>
        <w:spacing w:after="200" w:line="276"/>
      </w:pPr>
      <w:r>
        <w:t xml:space="preserve">The NCFC architecture is designed to function optimally alongside a fully established NDC. However, prudent institutional design requires that NCFC be operable across a spectrum of NDC capability:</w:t>
      </w:r>
    </w:p>
    <w:p>
      <w:pPr>
        <w:pStyle w:val="ListParagraph"/>
        <w:numPr>
          <w:ilvl w:val="0"/>
          <w:numId w:val="2"/>
        </w:numPr>
        <w:spacing w:after="120" w:line="276"/>
      </w:pPr>
      <w:r>
        <w:t xml:space="preserve"/>
      </w:r>
      <w:r>
        <w:rPr>
          <w:b/>
          <w:bCs/>
        </w:rPr>
        <w:t xml:space="preserve">Full NDC (ideal):</w:t>
      </w:r>
      <w:r>
        <w:t xml:space="preserve"> NCFC accepts NOAK designations, milestone frameworks, and standardization packages from NDC. NCFC’s Eligibility &amp; Standards Committee applies these to individual deals.</w:t>
      </w:r>
    </w:p>
    <w:p>
      <w:pPr>
        <w:pStyle w:val="ListParagraph"/>
        <w:numPr>
          <w:ilvl w:val="0"/>
          <w:numId w:val="2"/>
        </w:numPr>
        <w:spacing w:after="120" w:line="276"/>
      </w:pPr>
      <w:r>
        <w:t xml:space="preserve"/>
      </w:r>
      <w:r>
        <w:rPr>
          <w:b/>
          <w:bCs/>
        </w:rPr>
        <w:t xml:space="preserve">Partial NDC:</w:t>
      </w:r>
      <w:r>
        <w:t xml:space="preserve"> NDC exists but with limited authority or incomplete staffing. NCFC’s Eligibility &amp; Standards Committee supplements NDC’s outputs with its own technical standards, subject to more restrictive eligibility criteria (e.g., fewer eligible designs, tighter milestone requirements).</w:t>
      </w:r>
    </w:p>
    <w:p>
      <w:pPr>
        <w:pStyle w:val="ListParagraph"/>
        <w:numPr>
          <w:ilvl w:val="0"/>
          <w:numId w:val="2"/>
        </w:numPr>
        <w:spacing w:after="120" w:line="276"/>
      </w:pPr>
      <w:r>
        <w:t xml:space="preserve"/>
      </w:r>
      <w:r>
        <w:rPr>
          <w:b/>
          <w:bCs/>
        </w:rPr>
        <w:t xml:space="preserve">NDC absent:</w:t>
      </w:r>
      <w:r>
        <w:t xml:space="preserve"> The NCFC charter should contain fallback provisions allowing NCFC’s Eligibility &amp; Standards Committee to perform minimum-viable NDC functions: NOAK designation based on published criteria, milestone definition using international best practice, and standardization requirements derived from NCFC’s own templates. This standalone mode operates under tighter guardrails—fewer eligible projects, more conservative baselines, higher CRF premiums—to compensate for the absence of the strategic coordination that NDC provides.</w:t>
      </w:r>
    </w:p>
    <w:p>
      <w:pPr>
        <w:spacing w:after="200" w:line="276"/>
      </w:pPr>
      <w:r>
        <w:t xml:space="preserve">This contingency structure ensures NCFC can operate from day one, while creating institutional demand for NDC: a constrained NCFC that cannot reach its full potential without NDC is itself a forcing function for NDC’s establishment.</w:t>
      </w:r>
    </w:p>
    <w:p>
      <w:pPr>
        <w:pStyle w:val="Heading2"/>
      </w:pPr>
      <w:r>
        <w:t xml:space="preserve">13.4 CCC Resolution Regime</w:t>
      </w:r>
    </w:p>
    <w:p>
      <w:pPr>
        <w:spacing w:after="200" w:line="276"/>
      </w:pPr>
      <w:r>
        <w:t xml:space="preserve">CCC is the resolution regime when a project is failing financially but remains technically viable and strategic. Under CCC: NCFC (via the workouts unit) takes temporary control of the SPV; existing private equity is wiped; subordinated instruments may be restructured; CLT/CTT/CCC capital is deployed as needed to complete and stabilize the plant. CCC decisions are financial, not strategic—taken by NCFC’s credit/CRF governance, with NDC informed but not voting.</w:t>
      </w:r>
    </w:p>
    <w:p>
      <w:pPr>
        <w:pStyle w:val="Heading2"/>
      </w:pPr>
      <w:r>
        <w:t xml:space="preserve">13.5 Post-CCC Asset Disposition Framework</w:t>
      </w:r>
    </w:p>
    <w:p>
      <w:pPr>
        <w:spacing w:after="200" w:line="276"/>
      </w:pPr>
      <w:r>
        <w:t xml:space="preserve">Reprivatization is the default exit from CCC, but the architecture must plan for realistic timelines. Post-CCC asset disposition operates under the following framework:</w:t>
      </w:r>
    </w:p>
    <w:p>
      <w:pPr>
        <w:pStyle w:val="ListParagraph"/>
        <w:numPr>
          <w:ilvl w:val="0"/>
          <w:numId w:val="2"/>
        </w:numPr>
        <w:spacing w:after="120" w:line="276"/>
      </w:pPr>
      <w:r>
        <w:t xml:space="preserve"/>
      </w:r>
      <w:r>
        <w:rPr>
          <w:b/>
          <w:bCs/>
        </w:rPr>
        <w:t xml:space="preserve">Stabilization period (0–2 years post-COD):</w:t>
      </w:r>
      <w:r>
        <w:t xml:space="preserve"> NCFC operates the plant through the workouts unit or a contracted operator. Priority is demonstrating stable operations and revenue generation under the SPV’s contracted wholesale revenue stack.</w:t>
      </w:r>
    </w:p>
    <w:p>
      <w:pPr>
        <w:pStyle w:val="ListParagraph"/>
        <w:numPr>
          <w:ilvl w:val="0"/>
          <w:numId w:val="2"/>
        </w:numPr>
        <w:spacing w:after="120" w:line="276"/>
      </w:pPr>
      <w:r>
        <w:t xml:space="preserve"/>
      </w:r>
      <w:r>
        <w:rPr>
          <w:b/>
          <w:bCs/>
        </w:rPr>
        <w:t xml:space="preserve">Marketing period (years 2–5):</w:t>
      </w:r>
      <w:r>
        <w:t xml:space="preserve"> NCFC’s asset disposition authority actively markets the plant for sale, long-term concession, or transfer to a public power entity. Acceptable disposition mechanisms include: outright sale to a qualified operator, 20–40 year operating concession with NCFC retaining residual ownership, or transfer to a public power authority (TVA, PMA, muni/co-op).</w:t>
      </w:r>
    </w:p>
    <w:p>
      <w:pPr>
        <w:pStyle w:val="ListParagraph"/>
        <w:numPr>
          <w:ilvl w:val="0"/>
          <w:numId w:val="2"/>
        </w:numPr>
        <w:spacing w:after="120" w:line="276"/>
      </w:pPr>
      <w:r>
        <w:t xml:space="preserve"/>
      </w:r>
      <w:r>
        <w:rPr>
          <w:b/>
          <w:bCs/>
        </w:rPr>
        <w:t xml:space="preserve">Maximum holding period:</w:t>
      </w:r>
      <w:r>
        <w:t xml:space="preserve"> The NCFC charter should specify a statutory maximum holding period (e.g., 10 years post-COD) after which the plant must be transferred or permanently assigned. This prevents indefinite federal ownership and the mandate creep it entails.</w:t>
      </w:r>
    </w:p>
    <w:p>
      <w:pPr>
        <w:pStyle w:val="ListParagraph"/>
        <w:numPr>
          <w:ilvl w:val="0"/>
          <w:numId w:val="2"/>
        </w:numPr>
        <w:spacing w:after="120" w:line="276"/>
      </w:pPr>
      <w:r>
        <w:t xml:space="preserve"/>
      </w:r>
      <w:r>
        <w:rPr>
          <w:b/>
          <w:bCs/>
        </w:rPr>
        <w:t xml:space="preserve">Revenue during holding:</w:t>
      </w:r>
      <w:r>
        <w:t xml:space="preserve"> During the holding period, the plant generates operating revenue that services LTRF debt and recovers CRF capital. Extended holds are fiscally costly but not catastrophic—a functioning nuclear plant is a revenue-producing asset, not a depreciating liability.</w:t>
      </w:r>
    </w:p>
    <w:p>
      <w:pPr>
        <w:spacing w:after="200" w:line="276"/>
      </w:pPr>
      <w:r>
        <w:t xml:space="preserve">CRF capital planning and FCRA scoring should model scenarios where NCFC holds 1–2 plants for 5+ years following CCC events, to ensure the fiscal impact is understood and appropriated.</w:t>
      </w:r>
    </w:p>
    <w:p>
      <w:r>
        <w:br w:type="page"/>
      </w:r>
    </w:p>
    <w:p>
      <w:pPr>
        <w:pStyle w:val="Heading1"/>
      </w:pPr>
      <w:r>
        <w:t xml:space="preserve">XIV. Budget Scoring, FCRA, and Subsidy Logic</w:t>
      </w:r>
    </w:p>
    <w:p>
      <w:pPr>
        <w:spacing w:after="200" w:line="276"/>
      </w:pPr>
      <w:r>
        <w:t xml:space="preserve">NCFC is a federal credit program, so FCRA scoring will be decisive in determining fiscal tolerability.</w:t>
      </w:r>
    </w:p>
    <w:p>
      <w:pPr>
        <w:pStyle w:val="Heading2"/>
      </w:pPr>
      <w:r>
        <w:t xml:space="preserve">14.1 What FCRA Sees</w:t>
      </w:r>
    </w:p>
    <w:p>
      <w:pPr>
        <w:spacing w:after="200" w:line="276"/>
      </w:pPr>
      <w:r>
        <w:t xml:space="preserve">On the senior side, FCRA sees explicitly guaranteed obligations secured on a pool of standardized senior-lien assets, backed by a first-loss residual held by NCFC/CRF. On the CRF side, it sees a deep-tail, low-frequency loss instrument where premiums plus equity provide loss-absorbing capital and high-severity draws are spread over a diversified pool. LTRF is priced with step-ups that mean in benign/normal states the expected subsidy is small or negative; budget risk comes in tail states with extended macro stress.</w:t>
      </w:r>
    </w:p>
    <w:p>
      <w:pPr>
        <w:pStyle w:val="Heading2"/>
      </w:pPr>
      <w:r>
        <w:t xml:space="preserve">14.2 Pooling + FOAK/NOAK Discipline = Lower Subsidy Per kW</w:t>
      </w:r>
    </w:p>
    <w:p>
      <w:pPr>
        <w:spacing w:after="200" w:line="276"/>
      </w:pPr>
      <w:r>
        <w:t xml:space="preserve">Two architectural choices drive subsidy efficiency. First, FOAK risk remains with LPO and private capital—by the time NCFC is involved, the cost distribution is already narrower. Second, NDC-driven standardization, sequencing, and supplier qualification compress the tails further. CRF then focuses on the remaining deep tail. The result: on a per-kW basis, expected subsidy cost is lower than scattered bespoke LPO loans and emergency bailouts.</w:t>
      </w:r>
    </w:p>
    <w:p>
      <w:pPr>
        <w:pStyle w:val="Heading2"/>
      </w:pPr>
      <w:r>
        <w:t xml:space="preserve">14.3 Open FCRA Questions</w:t>
      </w:r>
    </w:p>
    <w:p>
      <w:pPr>
        <w:spacing w:after="200" w:line="276"/>
      </w:pPr>
      <w:r>
        <w:t xml:space="preserve">Calibrating the FCRA model for NCFC requires work on several fronts: actuarial modeling of the CRF draws under both partially and fully correlated stress scenarios; scoring of the LTRF exposure as a contingent commitment with step-up pricing; treatment of emergency equity injections as a contingent liability; and whether the tail-cap facility needs explicit statutory authority for budget scoring purposes. These are tractable but non-trivial technical questions that will require OMB/CBO engagement.</w:t>
      </w:r>
    </w:p>
    <w:p>
      <w:r>
        <w:br w:type="page"/>
      </w:r>
    </w:p>
    <w:p>
      <w:pPr>
        <w:pStyle w:val="Heading1"/>
      </w:pPr>
      <w:r>
        <w:t xml:space="preserve">XV. The Startup Phase and the Sovereign Bargain</w:t>
      </w:r>
    </w:p>
    <w:p>
      <w:pPr>
        <w:pBdr>
          <w:left w:val="single" w:color="2E5984" w:sz="12" w:space="8"/>
        </w:pBdr>
        <w:spacing w:after="200" w:line="276"/>
        <w:ind w:left="720" w:right="720"/>
      </w:pPr>
      <w:r>
        <w:rPr>
          <w:i/>
          <w:iCs/>
          <w:color w:val="2E5984"/>
        </w:rPr>
        <w:t xml:space="preserve">v3 Doctrinal Correction: The v2 draft of this section treated CRF underfunding in early years as a problem to be patched—higher premiums, wider attach bands, graduated backstops. That framing was wrong. CRF underfunding is not a startup problem. It is a permanent structural reality of nuclear construction that the sovereign must accept. This section has been rewritten to reflect the correct doctrine.</w:t>
      </w:r>
    </w:p>
    <w:p>
      <w:pPr>
        <w:pStyle w:val="Heading2"/>
      </w:pPr>
      <w:r>
        <w:t xml:space="preserve">15.1 Why CRF Is Not Insurance</w:t>
      </w:r>
    </w:p>
    <w:p>
      <w:pPr>
        <w:spacing w:after="200" w:line="276"/>
      </w:pPr>
      <w:r>
        <w:t xml:space="preserve">Nuclear cost overrun risk is not insurable through traditional actuarial pricing. The tails are too fat, the data too sparse, the correlation across a concentrated supply chain too high, and the sample sizes too small for any premium schedule to make a deep-tail completion reserve self-funding. This is not a temporary condition that NCFC will outgrow. It is a permanent structural reality.</w:t>
      </w:r>
    </w:p>
    <w:p>
      <w:pPr>
        <w:spacing w:after="200" w:line="276"/>
      </w:pPr>
      <w:r>
        <w:t xml:space="preserve">Viewed through a conventional insurance lens, CRF will always be “underfunded.” The sovereign signal embedded in NCFC’s design is that this is a reality nations must accept if they want nuclear at fleet scale. The alternative—demanding actuarially sound premiums for deep-tail nuclear completion risk—produces premiums so high that they defeat the purpose of the financing architecture. No project can afford to self-insure against a 1,279% overrun. Pretending otherwise is not conservative design; it is fantasy.</w:t>
      </w:r>
    </w:p>
    <w:p>
      <w:pPr>
        <w:pStyle w:val="Heading2"/>
      </w:pPr>
      <w:r>
        <w:t xml:space="preserve">15.2 What CRF Premiums Actually Are</w:t>
      </w:r>
    </w:p>
    <w:p>
      <w:pPr>
        <w:spacing w:after="200" w:line="276"/>
      </w:pPr>
      <w:r>
        <w:t xml:space="preserve">CRF premiums are not insurance premiums designed to fund a self-sustaining loss reserve. They are alignment capital: the price of admission to NCFC’s sovereign completion platform.</w:t>
      </w:r>
    </w:p>
    <w:p>
      <w:pPr>
        <w:spacing w:after="200" w:line="276"/>
      </w:pPr>
      <w:r>
        <w:t xml:space="preserve">The purpose of the premium is to keep skin in the game. Projects accessing NCFC’s structured sovereign backstop—which bounds their tail risk and makes them financeable—pay a fee that ensures: (a) NCFC financing is non-free, creating real cost discipline; (b) projects that go badly have private-sector capital at risk alongside sovereign capital; and (c) CRF accumulates some loss-absorbing capacity, even if that capacity will never be actuarially sufficient against the true tail.</w:t>
      </w:r>
    </w:p>
    <w:p>
      <w:pPr>
        <w:spacing w:after="200" w:line="276"/>
      </w:pPr>
      <w:r>
        <w:t xml:space="preserve">This framing matters. If CRF premiums were insurance premiums, then CRF underfunding would be a solvency problem. Because they are alignment capital, the relevant question is not “are premiums sufficient to cover all possible losses?” but “are premiums high enough to create meaningful discipline without pricing projects out of the platform?” The answer to the second question is yes at 0.5–1.0% upfront plus 50–100 bps annually.</w:t>
      </w:r>
    </w:p>
    <w:p>
      <w:pPr>
        <w:pStyle w:val="Heading2"/>
      </w:pPr>
      <w:r>
        <w:t xml:space="preserve">15.3 Why Attach Bands Must Not Widen for Early Projects</w:t>
      </w:r>
    </w:p>
    <w:p>
      <w:pPr>
        <w:spacing w:after="200" w:line="276"/>
      </w:pPr>
      <w:r>
        <w:t xml:space="preserve">An earlier draft proposed wider CLT/CTT attach bands during the startup phase to account for baseline uncertainty. This is counterproductive, and the error reveals an important architectural principle.</w:t>
      </w:r>
    </w:p>
    <w:p>
      <w:pPr>
        <w:spacing w:after="200" w:line="276"/>
      </w:pPr>
      <w:r>
        <w:t xml:space="preserve">The entire value proposition of NCFC to capital providers is the credible statement: </w:t>
      </w:r>
      <w:r>
        <w:rPr>
          <w:b/>
          <w:bCs/>
        </w:rPr>
        <w:t xml:space="preserve">“Whatever happens, this project will not cost more than X% over budget, because here is the structured mechanism that catches it.”</w:t>
      </w:r>
      <w:r>
        <w:t xml:space="preserve"> That cap—enforced by the commercial loss waterfall, CLT, and CTT—is what makes nuclear construction financeable. It converts an unbounded right-tail risk into a bounded one.</w:t>
      </w:r>
    </w:p>
    <w:p>
      <w:pPr>
        <w:spacing w:after="200" w:line="276"/>
      </w:pPr>
      <w:r>
        <w:t xml:space="preserve">Widening the attach bands on early projects—the exact projects where fear of unbounded overruns is highest and the market is watching most closely—weakens the signal at the moment it matters most. If the first NCFC-backed project has wider bands than the steady-state design implies, the market reads that as: “even NCFC doesn’t believe its own architecture works yet.” That is precisely the wrong message.</w:t>
      </w:r>
    </w:p>
    <w:p>
      <w:pPr>
        <w:spacing w:after="200" w:line="276"/>
      </w:pPr>
      <w:r>
        <w:t xml:space="preserve">The correct approach is to hold attach points constant and accept that the sovereign is bearing more risk per project in the early years. That risk is real, and it should be honestly disclosed and appropriated. But it is the price of demonstrating the architecture, building the data spine, and compressing the learning curve—which is the entire point.</w:t>
      </w:r>
    </w:p>
    <w:p>
      <w:pPr>
        <w:pStyle w:val="Heading2"/>
      </w:pPr>
      <w:r>
        <w:t xml:space="preserve">15.4 The Real Exchange</w:t>
      </w:r>
    </w:p>
    <w:p>
      <w:pPr>
        <w:spacing w:after="200" w:line="276"/>
      </w:pPr>
      <w:r>
        <w:t xml:space="preserve">The government is already backstopping nuclear cost overruns. LPO provided the backstop for Vogtle. Congress faced the binary choice between writing off sunk billions and appropriating more on V.C. Summer. The federal government is in the nuclear completion business whether it acknowledges it or not.</w:t>
      </w:r>
    </w:p>
    <w:p>
      <w:pPr>
        <w:spacing w:after="200" w:line="276"/>
      </w:pPr>
      <w:r>
        <w:t xml:space="preserve">NCFC does not create new sovereign exposure to nuclear construction risk. It formalizes what already happens ad hoc: here is where the government will step in, how much it will fund, how that funding is structured, and what it costs. The difference is that NCFC makes this explicit, rules-based, and bounded—rather than leaving it to emergency appropriations and political improvisation.</w:t>
      </w:r>
    </w:p>
    <w:p>
      <w:pPr>
        <w:spacing w:after="200" w:line="276"/>
      </w:pPr>
      <w:r>
        <w:t xml:space="preserve">The trade-off for the private sector is straightforward:</w:t>
      </w:r>
    </w:p>
    <w:p>
      <w:pPr>
        <w:pStyle w:val="ListParagraph"/>
        <w:numPr>
          <w:ilvl w:val="0"/>
          <w:numId w:val="2"/>
        </w:numPr>
        <w:spacing w:after="120" w:line="276"/>
      </w:pPr>
      <w:r>
        <w:t xml:space="preserve"/>
      </w:r>
      <w:r>
        <w:rPr>
          <w:b/>
          <w:bCs/>
        </w:rPr>
        <w:t xml:space="preserve">What industry gets:</w:t>
      </w:r>
      <w:r>
        <w:t xml:space="preserve"> Access to a structured sovereign completion platform that bounds tail risk, provides predictable backstop mechanics, and makes nuclear construction financeable at scale.</w:t>
      </w:r>
    </w:p>
    <w:p>
      <w:pPr>
        <w:pStyle w:val="ListParagraph"/>
        <w:numPr>
          <w:ilvl w:val="0"/>
          <w:numId w:val="2"/>
        </w:numPr>
        <w:spacing w:after="120" w:line="276"/>
      </w:pPr>
      <w:r>
        <w:t xml:space="preserve"/>
      </w:r>
      <w:r>
        <w:rPr>
          <w:b/>
          <w:bCs/>
        </w:rPr>
        <w:t xml:space="preserve">What industry gives:</w:t>
      </w:r>
      <w:r>
        <w:t xml:space="preserve"> Full conformity to the institutional discipline package—standardized cost codes, unified reporting, NDC milestone frameworks, mandatory post-mortems, data spine contributions—that compresses the learning curve for the entire fleet.</w:t>
      </w:r>
    </w:p>
    <w:p>
      <w:pPr>
        <w:spacing w:after="200" w:line="276"/>
      </w:pPr>
      <w:r>
        <w:t xml:space="preserve">CRF premiums are the fee that makes access non-free. The data discipline is the mechanism that makes each subsequent project cheaper and more predictable. The sovereign bears the deep tail. The nation gets the learning curve. That is the bargain.</w:t>
      </w:r>
    </w:p>
    <w:p>
      <w:pPr>
        <w:pStyle w:val="Heading2"/>
      </w:pPr>
      <w:r>
        <w:t xml:space="preserve">15.5 Early-Years Operating Realities</w:t>
      </w:r>
    </w:p>
    <w:p>
      <w:pPr>
        <w:spacing w:after="200" w:line="276"/>
      </w:pPr>
      <w:r>
        <w:t xml:space="preserve">NCFC’s first cohort (approximately 3–8 projects) operates under conditions that differ from steady state in several practical respects, none of which require changing the core architecture:</w:t>
      </w:r>
    </w:p>
    <w:p>
      <w:pPr>
        <w:pStyle w:val="ListParagraph"/>
        <w:numPr>
          <w:ilvl w:val="0"/>
          <w:numId w:val="2"/>
        </w:numPr>
        <w:spacing w:after="120" w:line="276"/>
      </w:pPr>
      <w:r>
        <w:t xml:space="preserve"/>
      </w:r>
      <w:r>
        <w:rPr>
          <w:b/>
          <w:bCs/>
        </w:rPr>
        <w:t xml:space="preserve">Smaller NCB issuances:</w:t>
      </w:r>
      <w:r>
        <w:t xml:space="preserve"> Early NCB series will be smaller ($2–5B vs. eventual $10–15B). NCFC retains a larger residual strip (e.g., 8–10% vs. steady-state 5%) to demonstrate commitment to early investors.</w:t>
      </w:r>
    </w:p>
    <w:p>
      <w:pPr>
        <w:pStyle w:val="ListParagraph"/>
        <w:numPr>
          <w:ilvl w:val="0"/>
          <w:numId w:val="2"/>
        </w:numPr>
        <w:spacing w:after="120" w:line="276"/>
      </w:pPr>
      <w:r>
        <w:t xml:space="preserve"/>
      </w:r>
      <w:r>
        <w:rPr>
          <w:b/>
          <w:bCs/>
        </w:rPr>
        <w:t xml:space="preserve">Graduated mezzanine introduction:</w:t>
      </w:r>
      <w:r>
        <w:t xml:space="preserve"> Initial NCB tranching may be senior-only with the federal guarantee. Unguaranteed mezzanine Class B is introduced once early performance data exists and the investor base has formed—likely after 5+ projects are in the pool.</w:t>
      </w:r>
    </w:p>
    <w:p>
      <w:pPr>
        <w:pStyle w:val="ListParagraph"/>
        <w:numPr>
          <w:ilvl w:val="0"/>
          <w:numId w:val="2"/>
        </w:numPr>
        <w:spacing w:after="120" w:line="276"/>
      </w:pPr>
      <w:r>
        <w:t xml:space="preserve"/>
      </w:r>
      <w:r>
        <w:rPr>
          <w:b/>
          <w:bCs/>
        </w:rPr>
        <w:t xml:space="preserve">Explicit Treasury backstop disclosure:</w:t>
      </w:r>
      <w:r>
        <w:t xml:space="preserve"> During the startup phase, NCFC maintains a disclosed standby line with Treasury (or FFB) as catastrophic backstop behind CTT, scored and appropriated separately. Its existence anchors market confidence. As the portfolio matures and CRF reserves build, the backstop’s practical importance diminishes—but it need not expire, because the sovereign is the ultimate deep-tail owner regardless.</w:t>
      </w:r>
    </w:p>
    <w:p>
      <w:pPr>
        <w:pStyle w:val="ListParagraph"/>
        <w:numPr>
          <w:ilvl w:val="0"/>
          <w:numId w:val="2"/>
        </w:numPr>
        <w:spacing w:after="120" w:line="276"/>
      </w:pPr>
      <w:r>
        <w:t xml:space="preserve"/>
      </w:r>
      <w:r>
        <w:rPr>
          <w:b/>
          <w:bCs/>
        </w:rPr>
        <w:t xml:space="preserve">B₀ from international comparators:</w:t>
      </w:r>
      <w:r>
        <w:t xml:space="preserve"> First-cohort baselines draw on Korean, UAE, Chinese, and Finnish data, adjusted conservatively. This is acknowledged openly. The data mandate—standardized cost codes, mandatory reporting, post-mortems—is statutory precisely so that domestic baselines improve rapidly.</w:t>
      </w:r>
    </w:p>
    <w:p>
      <w:pPr>
        <w:pStyle w:val="Heading2"/>
      </w:pPr>
      <w:r>
        <w:t xml:space="preserve">15.6 Fiscal Transparency</w:t>
      </w:r>
    </w:p>
    <w:p>
      <w:pPr>
        <w:spacing w:after="200" w:line="276"/>
      </w:pPr>
      <w:r>
        <w:t xml:space="preserve">NCFC publishes a semi-annual report disclosing: CRF reserves and adequacy ratios, Treasury backstop status, B₀ calibration updates as domestic data accumulates, portfolio-level overrun distributions, and learning-curve metrics (cost per kW by project sequence number). This transparency serves congressional oversight and builds the market credibility that makes the architecture self-reinforcing over time.</w:t>
      </w:r>
    </w:p>
    <w:p>
      <w:r>
        <w:br w:type="page"/>
      </w:r>
    </w:p>
    <w:p>
      <w:pPr>
        <w:pStyle w:val="Heading1"/>
      </w:pPr>
      <w:r>
        <w:t xml:space="preserve">XVI. The Comparative Fiscal Case</w:t>
      </w:r>
    </w:p>
    <w:p>
      <w:pPr>
        <w:pBdr>
          <w:left w:val="single" w:color="2E5984" w:sz="12" w:space="8"/>
        </w:pBdr>
        <w:spacing w:after="200" w:line="276"/>
        <w:ind w:left="720" w:right="720"/>
      </w:pPr>
      <w:r>
        <w:rPr>
          <w:i/>
          <w:iCs/>
          <w:color w:val="2E5984"/>
        </w:rPr>
        <w:t xml:space="preserve">This section responds to the adversarial finding that FCRA scoring is unresolved and could be a binding political constraint. Rather than resolve FCRA technically (which requires OMB/CBO engagement), this section reframes the fiscal conversation.</w:t>
      </w:r>
    </w:p>
    <w:p>
      <w:pPr>
        <w:pStyle w:val="Heading2"/>
      </w:pPr>
      <w:r>
        <w:t xml:space="preserve">16.1 The Correct Counterfactual</w:t>
      </w:r>
    </w:p>
    <w:p>
      <w:pPr>
        <w:spacing w:after="200" w:line="276"/>
      </w:pPr>
      <w:r>
        <w:t xml:space="preserve">The fiscal cost of NCFC is not measured against zero. It is measured against the cost of building nuclear without NCFC. The relevant comparison set includes:</w:t>
      </w:r>
    </w:p>
    <w:p>
      <w:pPr>
        <w:pStyle w:val="ListParagraph"/>
        <w:numPr>
          <w:ilvl w:val="0"/>
          <w:numId w:val="2"/>
        </w:numPr>
        <w:spacing w:after="120" w:line="276"/>
      </w:pPr>
      <w:r>
        <w:t xml:space="preserve"/>
      </w:r>
      <w:r>
        <w:rPr>
          <w:b/>
          <w:bCs/>
        </w:rPr>
        <w:t xml:space="preserve">Status quo (ad hoc):</w:t>
      </w:r>
      <w:r>
        <w:t xml:space="preserve"> Each project negotiates bespoke federal support—LPO loans, tax credits, emergency appropriations when overruns materialize. V.C. Summer cost $9B and produced zero electricity. Vogtle cost ~$35B for 2.2 GW. These costs are real, they hit the federal budget, and they are scored nowhere as a coherent program.</w:t>
      </w:r>
    </w:p>
    <w:p>
      <w:pPr>
        <w:pStyle w:val="ListParagraph"/>
        <w:numPr>
          <w:ilvl w:val="0"/>
          <w:numId w:val="2"/>
        </w:numPr>
        <w:spacing w:after="120" w:line="276"/>
      </w:pPr>
      <w:r>
        <w:t xml:space="preserve"/>
      </w:r>
      <w:r>
        <w:rPr>
          <w:b/>
          <w:bCs/>
        </w:rPr>
        <w:t xml:space="preserve">Emergency bailout model:</w:t>
      </w:r>
      <w:r>
        <w:t xml:space="preserve"> Projects proceed with inadequate capitalization; when they fail, Congress faces a binary choice between losing sunk billions and appropriating emergency completion funds. This is the Concorde fallacy applied to nuclear, and it is the default trajectory without structural reform.</w:t>
      </w:r>
    </w:p>
    <w:p>
      <w:pPr>
        <w:pStyle w:val="ListParagraph"/>
        <w:numPr>
          <w:ilvl w:val="0"/>
          <w:numId w:val="2"/>
        </w:numPr>
        <w:spacing w:after="120" w:line="276"/>
      </w:pPr>
      <w:r>
        <w:t xml:space="preserve"/>
      </w:r>
      <w:r>
        <w:rPr>
          <w:b/>
          <w:bCs/>
        </w:rPr>
        <w:t xml:space="preserve">NCFC model:</w:t>
      </w:r>
      <w:r>
        <w:t xml:space="preserve"> Structured, rules-based, with explicit tail-risk pricing, CRF reserves, and commercial loss absorption before sovereign capital. The federal guarantee is on senior NCBs backed by a diversified pool with multiple loss layers below.</w:t>
      </w:r>
    </w:p>
    <w:p>
      <w:pPr>
        <w:pStyle w:val="Heading2"/>
      </w:pPr>
      <w:r>
        <w:t xml:space="preserve">16.2 Expected Fiscal Profile</w:t>
      </w:r>
    </w:p>
    <w:p>
      <w:pPr>
        <w:spacing w:after="200" w:line="276"/>
      </w:pPr>
      <w:r>
        <w:t xml:space="preserve">Under reasonable assumptions (NOAK cost learning of 15–25% from FOAK, 10–15% CRF utilization rate, average LTRF duration of 3–5 years), NCFC's expected fiscal cost per GW is substantially lower than the status quo:</w:t>
      </w:r>
    </w:p>
    <w:p>
      <w:pPr>
        <w:pStyle w:val="ListParagraph"/>
        <w:numPr>
          <w:ilvl w:val="0"/>
          <w:numId w:val="2"/>
        </w:numPr>
        <w:spacing w:after="120" w:line="276"/>
      </w:pPr>
      <w:r>
        <w:t xml:space="preserve"/>
      </w:r>
      <w:r>
        <w:rPr>
          <w:b/>
          <w:bCs/>
        </w:rPr>
        <w:t xml:space="preserve">CRF net cost:</w:t>
      </w:r>
      <w:r>
        <w:t xml:space="preserve"> Premiums collected minus draws made. In steady state, CRF is expected to be approximately breakeven to modestly positive, with deep-tail scenarios creating periodic negative years offset by premium accumulation.</w:t>
      </w:r>
    </w:p>
    <w:p>
      <w:pPr>
        <w:pStyle w:val="ListParagraph"/>
        <w:numPr>
          <w:ilvl w:val="0"/>
          <w:numId w:val="2"/>
        </w:numPr>
        <w:spacing w:after="120" w:line="276"/>
      </w:pPr>
      <w:r>
        <w:t xml:space="preserve"/>
      </w:r>
      <w:r>
        <w:rPr>
          <w:b/>
          <w:bCs/>
        </w:rPr>
        <w:t xml:space="preserve">LTRF net cost:</w:t>
      </w:r>
      <w:r>
        <w:t xml:space="preserve"> Step-up pricing means LTRF is revenue-positive in normal conditions. Fiscal cost arises only in extended macro stress where multiple projects remain in LTRF simultaneously at below-market rates.</w:t>
      </w:r>
    </w:p>
    <w:p>
      <w:pPr>
        <w:pStyle w:val="ListParagraph"/>
        <w:numPr>
          <w:ilvl w:val="0"/>
          <w:numId w:val="2"/>
        </w:numPr>
        <w:spacing w:after="120" w:line="276"/>
      </w:pPr>
      <w:r>
        <w:t xml:space="preserve"/>
      </w:r>
      <w:r>
        <w:rPr>
          <w:b/>
          <w:bCs/>
        </w:rPr>
        <w:t xml:space="preserve">Guarantee cost:</w:t>
      </w:r>
      <w:r>
        <w:t xml:space="preserve"> The federal guarantee on senior NCBs is the largest contingent liability, but it sits behind residual, mezzanine, CRF, and the entire commercial loss stack. Expected loss on guaranteed seniors under stress scenarios is low single-digit basis points.</w:t>
      </w:r>
    </w:p>
    <w:p>
      <w:pPr>
        <w:pStyle w:val="ListParagraph"/>
        <w:numPr>
          <w:ilvl w:val="0"/>
          <w:numId w:val="2"/>
        </w:numPr>
        <w:spacing w:after="120" w:line="276"/>
      </w:pPr>
      <w:r>
        <w:t xml:space="preserve"/>
      </w:r>
      <w:r>
        <w:rPr>
          <w:b/>
          <w:bCs/>
        </w:rPr>
        <w:t xml:space="preserve">System savings:</w:t>
      </w:r>
      <w:r>
        <w:t xml:space="preserve"> Avoided emergency bailouts, avoided V.C. Summer-type write-offs, lower capital costs from standardization, and learning-curve savings on later units. These are real fiscal benefits that do not appear in FCRA scoring but must be part of the political conversation.</w:t>
      </w:r>
    </w:p>
    <w:p>
      <w:pPr>
        <w:pStyle w:val="Heading2"/>
      </w:pPr>
      <w:r>
        <w:t xml:space="preserve">16.3 Framing for Congress</w:t>
      </w:r>
    </w:p>
    <w:p>
      <w:pPr>
        <w:spacing w:after="200" w:line="276"/>
      </w:pPr>
      <w:r>
        <w:t xml:space="preserve">The pitch to appropriators is not 'NCFC costs X.' It is: 'The federal government is going to spend money on nuclear deployment regardless. The question is whether that spending is ad hoc, reactive, and unlimited—or structured, rules-based, and bounded. NCFC converts an open-ended political liability into a scored, managed financial program. The CRF and commercial loss stack mean the sovereign is the last dollar in, not the first. And the data spine NCFC creates makes every subsequent project cheaper to finance and easier to oversee.'</w:t>
      </w:r>
    </w:p>
    <w:p>
      <w:r>
        <w:br w:type="page"/>
      </w:r>
    </w:p>
    <w:p>
      <w:pPr>
        <w:pStyle w:val="Heading1"/>
      </w:pPr>
      <w:r>
        <w:t xml:space="preserve">XVII. System Effects: Learning Curves, Crowding In, and Macro Stabilization</w:t>
      </w:r>
    </w:p>
    <w:p>
      <w:pPr>
        <w:pStyle w:val="Heading2"/>
      </w:pPr>
      <w:r>
        <w:t xml:space="preserve">17.1 Enabling Learning Curves</w:t>
      </w:r>
    </w:p>
    <w:p>
      <w:pPr>
        <w:spacing w:after="200" w:line="276"/>
      </w:pPr>
      <w:r>
        <w:t xml:space="preserve">Positive learning curves are institutional effects, not miracles of repetition. With NDC driving an orderbook and NCFC standardizing the capital stack, each successive project unfolds under the same framework. That consistency allows lessons learned—on cost, schedule, QA, supplier performance—to be collected, compared, and fed back systematically. Once the data spine exists, both NDC and NCFC can see where overruns cluster, which design elements are brittle, which suppliers are weak, and which contractual terms work.</w:t>
      </w:r>
    </w:p>
    <w:p>
      <w:pPr>
        <w:pStyle w:val="Heading2"/>
      </w:pPr>
      <w:r>
        <w:t xml:space="preserve">17.2 Crowding In Private Capital</w:t>
      </w:r>
    </w:p>
    <w:p>
      <w:pPr>
        <w:spacing w:after="200" w:line="276"/>
      </w:pPr>
      <w:r>
        <w:t xml:space="preserve">The architecture crowds in private capital, not supplants it. Banks originate and retain a strip—their exposure is real through COD. Equity/OEM/EPC/strategic sponsors absorb mid-band cost risk. Mezzanine investors get structured exposure with CRF and residual capital below them. Senior investors get fully guaranteed paper. Because NCFC removes the worst failure modes—abandonment, panic refis, ad-hoc bailouts—it makes it rational for every player to participate.</w:t>
      </w:r>
    </w:p>
    <w:p>
      <w:pPr>
        <w:pStyle w:val="Heading2"/>
      </w:pPr>
      <w:r>
        <w:t xml:space="preserve">17.3 Macro Stabilization</w:t>
      </w:r>
    </w:p>
    <w:p>
      <w:pPr>
        <w:spacing w:after="200" w:line="276"/>
      </w:pPr>
      <w:r>
        <w:t xml:space="preserve">In macro terms, NCFC behaves like a set of lungs. In stress: more projects use LTRF; CLT/CTT utilization is higher; NCFC’s balance sheet expands. In benign conditions: projects refi out quickly; CRF usage is low; NCFC’s footprint contracts. The sovereign signal is the guarantee that this expansion/contraction logic is systematic and rules-based, not political.</w:t>
      </w:r>
    </w:p>
    <w:p>
      <w:r>
        <w:br w:type="page"/>
      </w:r>
    </w:p>
    <w:p>
      <w:pPr>
        <w:pStyle w:val="Heading1"/>
      </w:pPr>
      <w:r>
        <w:t xml:space="preserve">XVIII. Residual Risks and Stress States</w:t>
      </w:r>
    </w:p>
    <w:p>
      <w:pPr>
        <w:pStyle w:val="Heading2"/>
      </w:pPr>
      <w:r>
        <w:t xml:space="preserve">18.1 Correlated Shocks</w:t>
      </w:r>
    </w:p>
    <w:p>
      <w:pPr>
        <w:spacing w:after="200" w:line="276"/>
      </w:pPr>
      <w:r>
        <w:t xml:space="preserve">The nuclear supply chain is highly concentrated; regulatory regimes can shift; macro crises hit simultaneously across projects. CRF modeling assumes both partially and fully correlated stress scenarios. In extreme Black Swan states, CRF capital will be heavily drawn, NCFC may require emergency equity injections and/or temporary FFB liquidity beyond normal bounds. That residual risk is borne by the sovereign as part of the national choice to pursue fleet-scale nuclear.</w:t>
      </w:r>
    </w:p>
    <w:p>
      <w:pPr>
        <w:pStyle w:val="Heading2"/>
      </w:pPr>
      <w:r>
        <w:t xml:space="preserve">18.2 PUC and Revenue Risk</w:t>
      </w:r>
    </w:p>
    <w:p>
      <w:pPr>
        <w:spacing w:after="200" w:line="276"/>
      </w:pPr>
      <w:r>
        <w:t xml:space="preserve">State PUC prudence risk is structurally routed around via the SPV + wholesale revenue requirement. NCFC’s exposure is to the SPV and its contractual payment obligations, not to an expectation of future prudency treatment. In deep-tail states, NCFC uses the bounded resolution ladder—CCC without possession, step-in, or conservatorship—to defend asset value and preserve discipline.</w:t>
      </w:r>
    </w:p>
    <w:p>
      <w:pPr>
        <w:pStyle w:val="Heading2"/>
      </w:pPr>
      <w:r>
        <w:t xml:space="preserve">18.3 What NCFC Deliberately Does Not Solve</w:t>
      </w:r>
    </w:p>
    <w:p>
      <w:pPr>
        <w:pStyle w:val="ListParagraph"/>
        <w:numPr>
          <w:ilvl w:val="0"/>
          <w:numId w:val="2"/>
        </w:numPr>
        <w:spacing w:after="120" w:line="276"/>
      </w:pPr>
      <w:r>
        <w:t xml:space="preserve">FOAK technology risk (LPO’s role).</w:t>
      </w:r>
    </w:p>
    <w:p>
      <w:pPr>
        <w:pStyle w:val="ListParagraph"/>
        <w:numPr>
          <w:ilvl w:val="0"/>
          <w:numId w:val="2"/>
        </w:numPr>
        <w:spacing w:after="120" w:line="276"/>
      </w:pPr>
      <w:r>
        <w:t xml:space="preserve">Retail rate-base politics.</w:t>
      </w:r>
    </w:p>
    <w:p>
      <w:pPr>
        <w:pStyle w:val="ListParagraph"/>
        <w:numPr>
          <w:ilvl w:val="0"/>
          <w:numId w:val="2"/>
        </w:numPr>
        <w:spacing w:after="120" w:line="276"/>
      </w:pPr>
      <w:r>
        <w:t xml:space="preserve">Decommissioning or nuclear-waste liability.</w:t>
      </w:r>
    </w:p>
    <w:p>
      <w:pPr>
        <w:pStyle w:val="ListParagraph"/>
        <w:numPr>
          <w:ilvl w:val="0"/>
          <w:numId w:val="2"/>
        </w:numPr>
        <w:spacing w:after="120" w:line="276"/>
      </w:pPr>
      <w:r>
        <w:t xml:space="preserve">Long-run merchant tail or recontracting risk beyond LTRF.</w:t>
      </w:r>
    </w:p>
    <w:p>
      <w:pPr>
        <w:pStyle w:val="ListParagraph"/>
        <w:numPr>
          <w:ilvl w:val="0"/>
          <w:numId w:val="2"/>
        </w:numPr>
        <w:spacing w:after="120" w:line="276"/>
      </w:pPr>
      <w:r>
        <w:t xml:space="preserve">Guaranteeing every project will be viable—CTT/CCC have viability gates.</w:t>
      </w:r>
    </w:p>
    <w:p>
      <w:pPr>
        <w:pStyle w:val="Heading2"/>
      </w:pPr>
      <w:r>
        <w:t xml:space="preserve">18.4 Illustrative Failure Paths</w:t>
      </w:r>
    </w:p>
    <w:p>
      <w:pPr>
        <w:spacing w:after="200" w:line="276"/>
      </w:pPr>
      <w:r>
        <w:t xml:space="preserve"/>
      </w:r>
      <w:r>
        <w:rPr>
          <w:b/>
          <w:bCs/>
        </w:rPr>
        <w:t xml:space="preserve">Path 1: Overrun fails viability test (orderly wind-down).</w:t>
      </w:r>
      <w:r>
        <w:t xml:space="preserve"> Costs cross the CTT threshold. Viability test finds completion requires disproportionate additional capital or operating economics are structurally negative. NCFC does not deploy CTT. Orderly wind-down: secure site, salvage equipment, write down exposure. Losses flow through residual and mezzanine; seniors kept whole by federal guarantee.</w:t>
      </w:r>
    </w:p>
    <w:p>
      <w:pPr>
        <w:spacing w:after="200" w:line="276"/>
      </w:pPr>
      <w:r>
        <w:t xml:space="preserve"/>
      </w:r>
      <w:r>
        <w:rPr>
          <w:b/>
          <w:bCs/>
        </w:rPr>
        <w:t xml:space="preserve">Path 2: Deep overrun passes viability test (completion under resolution ladder).</w:t>
      </w:r>
      <w:r>
        <w:t xml:space="preserve"> Costs cross CLT and CTT bands but viability test is positive. NCFC deploys CCC tools: stabilization capital without possession if incremental need is modest; step-in and manager replacement if governance failure is binding; conservatorship with equity wipe only as last resort. Complete, stabilize, reprivatize.</w:t>
      </w:r>
    </w:p>
    <w:p>
      <w:pPr>
        <w:spacing w:after="200" w:line="276"/>
      </w:pPr>
      <w:r>
        <w:t xml:space="preserve"/>
      </w:r>
      <w:r>
        <w:rPr>
          <w:b/>
          <w:bCs/>
        </w:rPr>
        <w:t xml:space="preserve">Path 3: Post-COD stress during LTRF window.</w:t>
      </w:r>
      <w:r>
        <w:t xml:space="preserve"> Sponsor experiences balance-sheet or revenue shock during LTRF. NCFC holds fulcrum position as first-lien senior. If unit is viable: deploy CCC tools, repair revenue stack, refinance or transfer. If viability is gone: wind down within LTRF horizon. Losses absorbed by residual and CRF before any impact on guaranteed seniors.</w:t>
      </w:r>
    </w:p>
    <w:p>
      <w:r>
        <w:br w:type="page"/>
      </w:r>
    </w:p>
    <w:p>
      <w:pPr>
        <w:pStyle w:val="Heading1"/>
      </w:pPr>
      <w:r>
        <w:t xml:space="preserve">XIX. Scope Limitations and Mandate Creep Prevention</w:t>
      </w:r>
    </w:p>
    <w:p>
      <w:pPr>
        <w:spacing w:after="200" w:line="276"/>
      </w:pPr>
      <w:r>
        <w:t xml:space="preserve">To avoid mandate creep and political drift, NCFC’s charter and public communication must reiterate:</w:t>
      </w:r>
    </w:p>
    <w:p>
      <w:pPr>
        <w:pStyle w:val="ListParagraph"/>
        <w:numPr>
          <w:ilvl w:val="0"/>
          <w:numId w:val="2"/>
        </w:numPr>
        <w:spacing w:after="120" w:line="276"/>
      </w:pPr>
      <w:r>
        <w:t xml:space="preserve">NCFC is not a FOAK financier. FOAK is LPO’s job.</w:t>
      </w:r>
    </w:p>
    <w:p>
      <w:pPr>
        <w:pStyle w:val="ListParagraph"/>
        <w:numPr>
          <w:ilvl w:val="0"/>
          <w:numId w:val="2"/>
        </w:numPr>
        <w:spacing w:after="120" w:line="276"/>
      </w:pPr>
      <w:r>
        <w:t xml:space="preserve">NCFC is not a retail rate-base financer. SPV + wholesale is a hard structural requirement.</w:t>
      </w:r>
    </w:p>
    <w:p>
      <w:pPr>
        <w:pStyle w:val="ListParagraph"/>
        <w:numPr>
          <w:ilvl w:val="0"/>
          <w:numId w:val="2"/>
        </w:numPr>
        <w:spacing w:after="120" w:line="276"/>
      </w:pPr>
      <w:r>
        <w:t xml:space="preserve">NCFC is not a permanent owner/operator. CCC is temporary, with reprivatization as the default exit.</w:t>
      </w:r>
    </w:p>
    <w:p>
      <w:pPr>
        <w:pStyle w:val="ListParagraph"/>
        <w:numPr>
          <w:ilvl w:val="0"/>
          <w:numId w:val="2"/>
        </w:numPr>
        <w:spacing w:after="120" w:line="276"/>
      </w:pPr>
      <w:r>
        <w:t xml:space="preserve">NCFC is not a decommissioning or waste vehicle.</w:t>
      </w:r>
    </w:p>
    <w:p>
      <w:pPr>
        <w:pStyle w:val="ListParagraph"/>
        <w:numPr>
          <w:ilvl w:val="0"/>
          <w:numId w:val="2"/>
        </w:numPr>
        <w:spacing w:after="120" w:line="276"/>
      </w:pPr>
      <w:r>
        <w:t xml:space="preserve">NCFC is not a multi-decade merchant risk taker. LTRF window is capped at ~10 years post-COD.</w:t>
      </w:r>
    </w:p>
    <w:p>
      <w:r>
        <w:br w:type="page"/>
      </w:r>
    </w:p>
    <w:p>
      <w:pPr>
        <w:pStyle w:val="Heading1"/>
      </w:pPr>
      <w:r>
        <w:t xml:space="preserve">XX. What This Actually Builds</w:t>
      </w:r>
    </w:p>
    <w:p>
      <w:pPr>
        <w:spacing w:after="200" w:line="276"/>
      </w:pPr>
      <w:r>
        <w:t xml:space="preserve">A mature NCFC world does not look like a permanent emergency program. It looks like an institutionalized, boring infrastructure platform:</w:t>
      </w:r>
    </w:p>
    <w:p>
      <w:pPr>
        <w:pStyle w:val="ListParagraph"/>
        <w:numPr>
          <w:ilvl w:val="0"/>
          <w:numId w:val="2"/>
        </w:numPr>
        <w:spacing w:after="120" w:line="276"/>
      </w:pPr>
      <w:r>
        <w:t xml:space="preserve">A stable pipeline of NOAK projects advancing through standardized milestones under NDC strategy.</w:t>
      </w:r>
    </w:p>
    <w:p>
      <w:pPr>
        <w:pStyle w:val="ListParagraph"/>
        <w:numPr>
          <w:ilvl w:val="0"/>
          <w:numId w:val="2"/>
        </w:numPr>
        <w:spacing w:after="120" w:line="276"/>
      </w:pPr>
      <w:r>
        <w:t xml:space="preserve">Regular NCB issuance from a seasoned master trust, with a known investor base for seniors and mezzanine.</w:t>
      </w:r>
    </w:p>
    <w:p>
      <w:pPr>
        <w:pStyle w:val="ListParagraph"/>
        <w:numPr>
          <w:ilvl w:val="0"/>
          <w:numId w:val="2"/>
        </w:numPr>
        <w:spacing w:after="120" w:line="276"/>
      </w:pPr>
      <w:r>
        <w:t xml:space="preserve">CRF and CCC sitting mostly in the background, occasionally activated but not constantly stretched.</w:t>
      </w:r>
    </w:p>
    <w:p>
      <w:pPr>
        <w:pStyle w:val="ListParagraph"/>
        <w:numPr>
          <w:ilvl w:val="0"/>
          <w:numId w:val="2"/>
        </w:numPr>
        <w:spacing w:after="120" w:line="276"/>
      </w:pPr>
      <w:r>
        <w:t xml:space="preserve">LTRF used episodically when macro or capital-market conditions are hostile, not as a permanent crutch.</w:t>
      </w:r>
    </w:p>
    <w:p>
      <w:pPr>
        <w:spacing w:after="200" w:line="276"/>
      </w:pPr>
      <w:r>
        <w:t xml:space="preserve">In that world, private banks and bond markets treat NOAK nuclear more like other long-duration infrastructure: complicated, but financeable under rules they understand. NCFC does not eliminate risk; it makes it legible, bounded, and structurally owned.</w:t>
      </w:r>
    </w:p>
    <w:p>
      <w:pPr>
        <w:spacing w:after="200" w:line="276"/>
      </w:pPr>
      <w:r>
        <w:t xml:space="preserve">At the system level, NCFC is necessary but not sufficient. It only works inside the broader sovereign stack—NDC, demand frameworks, fuel, siting, regulation. But without NCFC, the rest of that stack cannot unlock fleet-scale deployment at tolerable fiscal and political cost, because no one is coherently managing the completion and tail risks in a way that markets can underwrite.</w:t>
      </w:r>
    </w:p>
    <w:p>
      <w:pPr>
        <w:spacing w:after="200" w:line="276"/>
      </w:pPr>
      <w:r>
        <w:t xml:space="preserve">The sovereign signal here is not just the explicit guarantee on senior NCBs. It is the commitment to a rules-based architecture that holds FOAK and NOAK discipline; owns and manages tail risk at the right level; forces standardization and data into existence; and uses the sovereign balance sheet where it is uniquely suited—deep tails and correlation—while leaving mid-band risk to private capital.</w:t>
      </w:r>
    </w:p>
    <w:p>
      <w:pPr>
        <w:spacing w:after="200" w:line="276"/>
      </w:pPr>
      <w:r>
        <w:t xml:space="preserve">That is what the NCFC is for.</w:t>
      </w:r>
    </w:p>
    <w:p>
      <w:r>
        <w:br w:type="page"/>
      </w:r>
    </w:p>
    <w:p>
      <w:pPr>
        <w:pStyle w:val="Heading1"/>
      </w:pPr>
      <w:r>
        <w:t xml:space="preserve">Appendix: Deep-Dive Supplement Map</w:t>
      </w:r>
    </w:p>
    <w:p>
      <w:pPr>
        <w:spacing w:after="200" w:line="276"/>
      </w:pPr>
      <w:r>
        <w:t xml:space="preserve">The following topics are addressed in dedicated supplementary documents, each providing granular mechanical detail that sits beneath this canonical architecture:</w:t>
      </w:r>
    </w:p>
    <w:p>
      <w:pPr>
        <w:spacing w:after="200" w:line="276"/>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5060"/>
        <w:gridCol w:w="2100"/>
      </w:tblGrid>
      <w:tr>
        <w:tc>
          <w:tcPr>
            <w:tcW w:type="dxa" w:w="220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Supplement</w:t>
            </w:r>
          </w:p>
        </w:tc>
        <w:tc>
          <w:tcPr>
            <w:tcW w:type="dxa" w:w="506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Covers</w:t>
            </w:r>
          </w:p>
        </w:tc>
        <w:tc>
          <w:tcPr>
            <w:tcW w:type="dxa" w:w="210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Status</w:t>
            </w:r>
          </w:p>
        </w:tc>
      </w:tr>
      <w:tr>
        <w:tc>
          <w:tcPr>
            <w:tcW w:type="dxa" w:w="22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CRF / CLT / CTT Deep Dive</w:t>
            </w:r>
          </w:p>
        </w:tc>
        <w:tc>
          <w:tcPr>
            <w:tcW w:type="dxa" w:w="506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Funding model, draw mechanics, allocation principles, CCC resolution ladder, example portfolio scenario</w:t>
            </w:r>
          </w:p>
        </w:tc>
        <w:tc>
          <w:tcPr>
            <w:tcW w:type="dxa" w:w="21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Complete (working version)</w:t>
            </w:r>
          </w:p>
        </w:tc>
      </w:tr>
      <w:tr>
        <w:tc>
          <w:tcPr>
            <w:tcW w:type="dxa" w:w="220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LTRF Deep Dive</w:t>
            </w:r>
          </w:p>
        </w:tc>
        <w:tc>
          <w:tcPr>
            <w:tcW w:type="dxa" w:w="506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Pricing formula, lock/reset mechanics, behavioral zones, subordination incentive, securitization integration</w:t>
            </w:r>
          </w:p>
        </w:tc>
        <w:tc>
          <w:tcPr>
            <w:tcW w:type="dxa" w:w="210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Complete (working version)</w:t>
            </w:r>
          </w:p>
        </w:tc>
      </w:tr>
      <w:tr>
        <w:tc>
          <w:tcPr>
            <w:tcW w:type="dxa" w:w="22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RSF Deep Dive</w:t>
            </w:r>
          </w:p>
        </w:tc>
        <w:tc>
          <w:tcPr>
            <w:tcW w:type="dxa" w:w="506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Tier definitions, RSS formula, tenor adjustments, anti-gaming protections, example calculations</w:t>
            </w:r>
          </w:p>
        </w:tc>
        <w:tc>
          <w:tcPr>
            <w:tcW w:type="dxa" w:w="21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Complete (working version)</w:t>
            </w:r>
          </w:p>
        </w:tc>
      </w:tr>
      <w:tr>
        <w:tc>
          <w:tcPr>
            <w:tcW w:type="dxa" w:w="220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NCB Master Trust Deep Dive</w:t>
            </w:r>
          </w:p>
        </w:tc>
        <w:tc>
          <w:tcPr>
            <w:tcW w:type="dxa" w:w="506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Trust structure, waterfall mechanics, early-years liquidity, NCB series design</w:t>
            </w:r>
          </w:p>
        </w:tc>
        <w:tc>
          <w:tcPr>
            <w:tcW w:type="dxa" w:w="210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Outlined; needs consolidation</w:t>
            </w:r>
          </w:p>
        </w:tc>
      </w:tr>
      <w:tr>
        <w:tc>
          <w:tcPr>
            <w:tcW w:type="dxa" w:w="22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NDC–NCFC Interface</w:t>
            </w:r>
          </w:p>
        </w:tc>
        <w:tc>
          <w:tcPr>
            <w:tcW w:type="dxa" w:w="506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Division of labor, data flows, minimum eligibility gates, liaison roles</w:t>
            </w:r>
          </w:p>
        </w:tc>
        <w:tc>
          <w:tcPr>
            <w:tcW w:type="dxa" w:w="21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Complete (working version)</w:t>
            </w:r>
          </w:p>
        </w:tc>
      </w:tr>
      <w:tr>
        <w:tc>
          <w:tcPr>
            <w:tcW w:type="dxa" w:w="220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Governance Deep Dive</w:t>
            </w:r>
          </w:p>
        </w:tc>
        <w:tc>
          <w:tcPr>
            <w:tcW w:type="dxa" w:w="506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Board composition, committee charters, CCC unit structure, fiduciary duties</w:t>
            </w:r>
          </w:p>
        </w:tc>
        <w:tc>
          <w:tcPr>
            <w:tcW w:type="dxa" w:w="210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Outlined; needs consolidation</w:t>
            </w:r>
          </w:p>
        </w:tc>
      </w:tr>
      <w:tr>
        <w:tc>
          <w:tcPr>
            <w:tcW w:type="dxa" w:w="22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FCRA / Budget Scoring</w:t>
            </w:r>
          </w:p>
        </w:tc>
        <w:tc>
          <w:tcPr>
            <w:tcW w:type="dxa" w:w="506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Subsidy scoring methodology, actuarial modeling approach, OMB/CBO engagement plan</w:t>
            </w:r>
          </w:p>
        </w:tc>
        <w:tc>
          <w:tcPr>
            <w:tcW w:type="dxa" w:w="21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Open — requires technical modeling</w:t>
            </w:r>
          </w:p>
        </w:tc>
      </w:tr>
      <w:tr>
        <w:tc>
          <w:tcPr>
            <w:tcW w:type="dxa" w:w="220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Tail Risk Paper</w:t>
            </w:r>
          </w:p>
        </w:tc>
        <w:tc>
          <w:tcPr>
            <w:tcW w:type="dxa" w:w="506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Empirical analysis of nuclear overrun distributions; two design configurations for a cost-overrun facility</w:t>
            </w:r>
          </w:p>
        </w:tc>
        <w:tc>
          <w:tcPr>
            <w:tcW w:type="dxa" w:w="2100"/>
            <w:tcBorders>
              <w:top w:val="single" w:color="BBBBBB" w:sz="1"/>
              <w:left w:val="single" w:color="BBBBBB" w:sz="1"/>
              <w:bottom w:val="single" w:color="BBBBBB" w:sz="1"/>
              <w:right w:val="single" w:color="BBBBBB" w:sz="1"/>
            </w:tcBorders>
            <w:tcMar>
              <w:top w:type="dxa" w:w="60"/>
              <w:left w:type="dxa" w:w="100"/>
              <w:bottom w:type="dxa" w:w="60"/>
              <w:right w:type="dxa" w:w="100"/>
            </w:tcMar>
          </w:tcPr>
          <w:p>
            <w:pPr>
              <w:spacing w:after="0"/>
            </w:pPr>
            <w:r>
              <w:rPr>
                <w:sz w:val="20"/>
                <w:szCs w:val="20"/>
              </w:rPr>
              <w:t xml:space="preserve">Complete (potentially publishable standalone)</w:t>
            </w:r>
          </w:p>
        </w:tc>
      </w:tr>
      <w:tr>
        <w:tc>
          <w:tcPr>
            <w:tcW w:type="dxa" w:w="22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Cost Code Standardization</w:t>
            </w:r>
          </w:p>
        </w:tc>
        <w:tc>
          <w:tcPr>
            <w:tcW w:type="dxa" w:w="506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French advantage, unified reporting necessity, CBS/WBS framework</w:t>
            </w:r>
          </w:p>
        </w:tc>
        <w:tc>
          <w:tcPr>
            <w:tcW w:type="dxa" w:w="2100"/>
            <w:tcBorders>
              <w:top w:val="single" w:color="BBBBBB" w:sz="1"/>
              <w:left w:val="single" w:color="BBBBBB" w:sz="1"/>
              <w:bottom w:val="single" w:color="BBBBBB" w:sz="1"/>
              <w:right w:val="single" w:color="BBBBBB" w:sz="1"/>
            </w:tcBorders>
            <w:shd w:fill="F2F6FA" w:val="clear"/>
            <w:tcMar>
              <w:top w:type="dxa" w:w="60"/>
              <w:left w:type="dxa" w:w="100"/>
              <w:bottom w:type="dxa" w:w="60"/>
              <w:right w:type="dxa" w:w="100"/>
            </w:tcMar>
          </w:tcPr>
          <w:p>
            <w:pPr>
              <w:spacing w:after="0"/>
            </w:pPr>
            <w:r>
              <w:rPr>
                <w:sz w:val="20"/>
                <w:szCs w:val="20"/>
              </w:rPr>
              <w:t xml:space="preserve">Complete (working version)</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8"/>
        <w:szCs w:val="18"/>
      </w:rPr>
      <w:t xml:space="preserve">Page </w:t>
    </w:r>
    <w:r>
      <w:rPr>
        <w:rFonts w:ascii="Arial" w:cs="Arial" w:eastAsia="Arial" w:hAnsi="Arial"/>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tabs>
        <w:tab w:val="right" w:pos="9026"/>
      </w:tabs>
    </w:pPr>
    <w:r>
      <w:rPr>
        <w:rFonts w:ascii="Arial" w:cs="Arial" w:eastAsia="Arial" w:hAnsi="Arial"/>
        <w:color w:val="999999"/>
        <w:sz w:val="18"/>
        <w:szCs w:val="18"/>
      </w:rPr>
      <w:t xml:space="preserve">NCFC Canonical Architecture</w:t>
    </w:r>
    <w:r>
      <w:rPr>
        <w:rFonts w:ascii="Arial" w:cs="Arial" w:eastAsia="Arial" w:hAnsi="Arial"/>
        <w:color w:val="999999"/>
        <w:sz w:val="18"/>
        <w:szCs w:val="18"/>
      </w:rPr>
      <w:t xml:space="preserve">	Post-Audit Revision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1B3A5C"/>
      <w:sz w:val="36"/>
      <w:szCs w:val="36"/>
    </w:rPr>
  </w:style>
  <w:style w:type="paragraph" w:styleId="Heading2">
    <w:name w:val="Heading 2"/>
    <w:basedOn w:val="Normal"/>
    <w:next w:val="Normal"/>
    <w:qFormat/>
    <w:pPr>
      <w:spacing w:after="180" w:before="360"/>
      <w:outlineLvl w:val="1"/>
    </w:pPr>
    <w:rPr>
      <w:rFonts w:ascii="Arial" w:cs="Arial" w:eastAsia="Arial" w:hAnsi="Arial"/>
      <w:b/>
      <w:bCs/>
      <w:color w:val="2E5984"/>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3A6B9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2026-03-13T20:21:42.725Z</dcterms:created>
  <dcterms:modified xsi:type="dcterms:W3CDTF">2026-03-13T20:21:42.725Z</dcterms:modified>
</cp:coreProperties>
</file>

<file path=docProps/custom.xml><?xml version="1.0" encoding="utf-8"?>
<Properties xmlns="http://schemas.openxmlformats.org/officeDocument/2006/custom-properties" xmlns:vt="http://schemas.openxmlformats.org/officeDocument/2006/docPropsVTypes"/>
</file>